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noProof/>
        </w:rPr>
        <w:drawing>
          <wp:inline xmlns:wp="http://schemas.openxmlformats.org/drawingml/2006/wordprocessingDrawing" distT="0" distB="0" distL="0" distR="0">
            <wp:extent cx="2400000" cy="380000"/>
            <wp:docPr id="1" name="AILabel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400000" cy="380000"/>
                    </a:xfrm>
                    <a:prstGeom prst="rect">
                      <a:avLst/>
                    </a:prstGeom>
                    <a:solidFill>
                      <a:srgbClr val="000000">
                        <a:alpha val="50000"/>
                      </a:srgbClr>
                    </a:solidFill>
                    <a:ln w="12700">
                      <a:solidFill>
                        <a:srgbClr val="FFFFFF"/>
                      </a:solidFill>
                    </a:ln>
                  </wps:spPr>
                  <wps:txbx>
                    <w:txbxContent xmlns:w="http://schemas.openxmlformats.org/wordprocessingml/2006/main">
                      <w:p>
                        <w:pPr>
                          <w:jc w:val="center"/>
                        </w:pPr>
                        <w:r>
                          <w:rPr>
                            <w:b/>
                            <w:sz w:val="28"/>
                            <w:szCs w:val="28"/>
                            <w:rFonts w:eastAsia="SimSun" w:ascii="Arial" w:hAnsi="Arial"/>
                            <w:color w:val="FFFFFF"/>
                          </w:rPr>
                          <w:t>含 AI 生成</w:t>
                        </w:r>
                      </w:p>
                    </w:txbxContent>
                  </wps:txbx>
                  <wps:bodyPr anchor="ctr" anchorCtr="0" lIns="91440" tIns="45720" rIns="91440" bIns="45720">
                    <a:noAutofit/>
                  </wps:bodyPr>
                </wps:wsp>
              </a:graphicData>
            </a:graphic>
          </wp:inline>
        </w:drawing>
      </w:r>
    </w:p>
    <w:p/>
    <w:p>
      <w:pPr>
        <w:pStyle w:val="Heading1"/>
        <w:spacing w:before="240" w:after="120"/>
        <w:jc w:val="left"/>
      </w:pPr>
      <w:r>
        <w:rPr>
          <w:rFonts w:ascii="黑体" w:hAnsi="黑体" w:eastAsia="黑体"/>
          <w:b/>
          <w:sz w:val="28"/>
        </w:rPr>
        <w:t>门店人效与排班成本优化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4"/>
        </w:rPr>
        <w:t>一、编号</w:t>
      </w:r>
    </w:p>
    <w:p>
      <w:pPr>
        <w:spacing w:lineRule="exact" w:line="400" w:after="60"/>
        <w:jc w:val="both"/>
      </w:pPr>
      <w:r>
        <w:rPr>
          <w:rFonts w:ascii="宋体" w:hAnsi="宋体" w:eastAsia="宋体"/>
          <w:b w:val="0"/>
          <w:sz w:val="21"/>
        </w:rPr>
        <w:t>G6-ZX-008（v1）。</w:t>
      </w:r>
    </w:p>
    <w:p>
      <w:pPr>
        <w:spacing w:lineRule="exact" w:line="400" w:after="60"/>
        <w:jc w:val="both"/>
      </w:pPr>
      <w:r>
        <w:rPr>
          <w:rFonts w:ascii="宋体" w:hAnsi="宋体" w:eastAsia="宋体"/>
          <w:b w:val="0"/>
          <w:sz w:val="21"/>
        </w:rPr>
        <w:t>【职业定位】二级行业：餐饮连锁人力资源管理 / 门店运营管理；L1职业簇：人力资源、运营管理、财务与审计；L2职业：人力资源经理、门店运营经理、排班主管、成本会计、劳动合规专员。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4"/>
        </w:rPr>
        <w:t>二、任务背景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麦淳餐饮管理有限公司旗下6家门店在2026年一季度人工占比与人效表现分化明显。运营总监发现部分门店为追求服务体验过度排班，导致人效偏低；部分门店为压缩成本又存在加班过多、兼职占比过高等合规隐患。五一假期临近，公司需要一份基于历史数据与假期预测的排班优化方案，目标是在保证服务质量的前提下将人工占比控制在18%以内、人效提升至350元/小时以上，并确保劳动合规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本次任务存在三个现实张力：一是店长希望多排人保证服务，但财务要求控制人工占比；二是兼职用工灵活但流动性高、培训成本高；三是部分加盟店认为人工成本自行承担，对公司的排班优化建议抵触。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数据截止日为2026年3月31日，分析基准日为2026年4月5日。所有结论须基于门店基础信息、员工信息、Q1历史营业、Q1实际工时、五一预测、平峰期预测、排班规则计算，不得只给汇总数。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4"/>
        </w:rPr>
        <w:t>三、任务分解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本项委托按八轮执行，每轮只完成一个任务，并只提交当轮对应交付包。上一轮自检通过后，方可进入下一轮；未完成或自检不通过，不得进入下一轮，也不得提前输出后续轮次结果。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第1轮为Q1人效与人工占比。计算6家门店Q1营业额、实际工时、人工成本、人工占比、人效，并判定是否达标。本轮只输出01Q1人效与人工占比.rar。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第2轮为五一排班优化。根据五一假期客流预测，按单客服务工时计算需求工时，给出全职、兼职排班建议。本轮只输出02五一排班优化.rar。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第3轮为平峰期排班优化。根据平峰期预测，给出普通工作日排班方案。本轮只输出03平峰期排班优化.rar。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第4轮为加班合规检查。对比Q1实际工时与标准工时，识别加班超标门店。本轮只输出04加班合规检查.rar。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第5轮为风险与退出机制。列出10项风险、6类退出机制。本轮只输出05风险与退出机制.rar。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第6轮为错误要求驳回。逐条驳回管理层12项错误要求。本轮只输出06错误要求驳回.rar。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第7轮为敏感性分析。测算营业额±10%情景下的人工占比变化。本轮只输出07敏感性分析.rar。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第8轮为勾稽与结论。完成勾稽自检并给出核心结论。本轮只输出08勾稽与结论.rar。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4"/>
        </w:rPr>
        <w:t>四、输入附件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输入附件共8包。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01门店基础信息.rar，包含门店基础信息。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02员工信息.rar，包含员工信息。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03Q1历史营业.rar，包含Q1历史营业。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04Q1实际工时.rar，包含Q1实际工时。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05五一假期预测.rar，包含五一假期预测。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06平峰期预测.rar，包含平峰期预测。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07排班规则.rar，包含排班规则。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08管理层要求.rar，包含管理层要求。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4"/>
        </w:rPr>
        <w:t>五、制度与判断规则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人工成本=工资+加班费+社保公积金。工资=小时工资×工时；加班费=小时工资×加班工时×加班费率（平时1.5倍、法定节假日3倍）；社保公积金=社保公积金基数×单位承担比例38%。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人工占比=人工成本÷营业额；人效=营业额÷工时。人工占比红线18%，人效目标350元/小时；双指标同时达标方为"达标"。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日最大工时10小时、周最大工时44小时、月最大加班36小时；兼职工时占比不超过30%。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排班需求工时=max（最低配置工时80小时/天，预测客流×单客服务工时0.06小时）。五一假期优先使用全职顶格排班，不足部分由兼职补充；平峰期按周需求工时配置，保证全职基本收入同时避免无效工时。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加班合规判定：月加班占比≤15%为合规，&gt;15%为超标。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4"/>
        </w:rPr>
        <w:t>六、交付物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01 Q1人效与人工占比.rar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02 五一排班优化.rar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03 平峰期排班优化.rar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04 加班合规检查.rar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05 风险与退出机制.rar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06 错误要求驳回.rar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07 敏感性分析.rar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08 勾稽与结论.rar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4"/>
        </w:rPr>
        <w:t>七、约束条件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1. 仅使用附件材料，不得引入外部数据，不得联网检索。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2. 金额以元列示并保留两位小数，营业额以万元列示，比例保留两位小数。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3. 逐门店、逐员工给出计算结果，不得抽样或估算。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4. 6家门店、员工编号唯一，不得重复或遗漏。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5. 人工成本必须含工资、加班费、社保公积金三项。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6. 人工占比必须≤18%，人效必须≥350元/小时方可判定达标。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7. 日最大工时10小时、周最大工时44小时、月最大加班36小时，不得突破。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8. 兼职工时占比不得超过30%。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9. 排班需求工时须按max（最低配置工时，客流×单客服务工时）计算。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10. 社保公积金基数须与实际工资匹配，不得按最低基数。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11. 加班费必须按1.5倍和3倍分别计算。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12. 五一期间仍需控制人工占比，不得因营业额高而无限制增人。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13. 加盟店须接受公司排班与成本审计，不得以"自负盈亏"为由拒绝。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14. 不得跨期调节工时或成本。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15. 排班须按岗位技能匹配，不得随意错配。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16. 必须列出10项风险和6类退出机制，每项风险须有量化触发阈值。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17. 勾稽全部闭合后方可出具核心结论。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18. 必须按八轮顺序逐轮交付。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19. 每轮结束必须提交本轮自检记录。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20. 每轮只提交当轮对应交付包，不得跨轮合并或提前输出。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21. 管理层12项错误要求须逐条驳回并说明理由。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22. 敏感性分析须覆盖营业额±10%两种情景。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23. 排班优化建议须有明确工时数和人员安排，不得只给方向性意见。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24. Q1、五一、平峰期三套排班方案须分别计算，不得混用数据。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4"/>
        </w:rPr>
        <w:t>八、完成标准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八轮任务逐轮完成且逐轮自检通过。6家门店Q1人效与人工占比达标2家、未达标4家；2家门店加班合规、4家门店加班超标；21项勾稽全部一致、不一致项为0。任一轮未完成或自检不通过，不得进入下一轮，整体不得视为完成。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4"/>
        </w:rPr>
        <w:t>九、考点</w:t>
      </w:r>
    </w:p>
    <w:p>
      <w:pPr>
        <w:spacing w:lineRule="exact" w:line="400" w:after="60"/>
        <w:jc w:val="both"/>
      </w:pPr>
      <w:r>
        <w:rPr>
          <w:rFonts w:ascii="宋体" w:hAnsi="宋体" w:eastAsia="宋体"/>
          <w:b w:val="0"/>
          <w:sz w:val="21"/>
        </w:rPr>
        <w:t>以下考点按人工成本、人效测算、排班优化、劳动合规、风险退出、错误驳回、勾稽结论七组展开，共50项，用于逐条评定答题底稿的完整性与正确性。</w:t>
      </w:r>
    </w:p>
    <w:p>
      <w:pPr>
        <w:spacing w:lineRule="exact" w:line="400" w:after="60"/>
        <w:jc w:val="both"/>
      </w:pPr>
      <w:r>
        <w:rPr>
          <w:rFonts w:ascii="宋体" w:hAnsi="宋体" w:eastAsia="宋体"/>
          <w:b/>
          <w:sz w:val="21"/>
        </w:rPr>
        <w:t>（一）人工成本（考点1—8）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考点1：底稿中应当列示6家门店的员工信息。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考点2：底稿中应当按小时工资×工时计算工资。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考点3：底稿中应当按小时工资×加班工时×1.5倍计算平时加班费。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考点4：底稿中应当按小时工资×加班工时×3倍计算法定节假日加班费。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考点5：底稿中应当按社保公积金基数×38%计算单位社保公积金成本。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考点6：底稿中应当汇总每家门店Q1人工成本。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考点7：底稿中应当区分全职与兼职用工成本。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考点8：底稿中应当明确人工成本不含非人工费用。</w:t>
      </w:r>
    </w:p>
    <w:p>
      <w:pPr>
        <w:spacing w:lineRule="exact" w:line="400" w:after="60"/>
        <w:jc w:val="both"/>
      </w:pPr>
      <w:r>
        <w:rPr>
          <w:rFonts w:ascii="宋体" w:hAnsi="宋体" w:eastAsia="宋体"/>
          <w:b/>
          <w:sz w:val="21"/>
        </w:rPr>
        <w:t>（二）人效测算（考点9—15）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考点9：底稿中应当计算每家门店Q1营业额。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考点10：底稿中应当计算每家门店Q1实际总工时。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考点11：底稿中应当按营业额÷工时计算人效。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考点12：底稿中应当按人工成本÷营业额计算人工占比。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考点13：底稿中应当按人工占比≤18%且人效≥350元/小时判定达标。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考点14：底稿中应当列示达标与未达标门店名单。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考点15：底稿中应当对未达标门店给出原因分析。</w:t>
      </w:r>
    </w:p>
    <w:p>
      <w:pPr>
        <w:spacing w:lineRule="exact" w:line="400" w:after="60"/>
        <w:jc w:val="both"/>
      </w:pPr>
      <w:r>
        <w:rPr>
          <w:rFonts w:ascii="宋体" w:hAnsi="宋体" w:eastAsia="宋体"/>
          <w:b/>
          <w:sz w:val="21"/>
        </w:rPr>
        <w:t>（三）排班优化（考点16—25）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考点16：底稿中应当读取五一假期和平峰期预测。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考点17：底稿中应当按max（最低配置工时，客流×0.06）计算需求工时。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考点18：底稿中应当优先使用全职排班。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考点19：底稿中应当按兼职占比≤30%控制兼职工时。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考点20：底稿中应当给出五一假期每天排班工时。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考点21：底稿中应当给出平峰期每周排班工时。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考点22：底稿中应当识别五一期间可能的工时缺口。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考点23：底稿中应当避免日最大工时和周最大工时超限。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考点24：底稿中应当考虑岗位技能匹配。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考点25：底稿中应当给出优化后预期人工占比。</w:t>
      </w:r>
    </w:p>
    <w:p>
      <w:pPr>
        <w:spacing w:lineRule="exact" w:line="400" w:after="60"/>
        <w:jc w:val="both"/>
      </w:pPr>
      <w:r>
        <w:rPr>
          <w:rFonts w:ascii="宋体" w:hAnsi="宋体" w:eastAsia="宋体"/>
          <w:b/>
          <w:sz w:val="21"/>
        </w:rPr>
        <w:t>（四）劳动合规（考点26—32）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考点26：底稿中应当计算每家门店Q1标准工时。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考点27：底稿中应当计算加班工时。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考点28：底稿中应当计算加班占比。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考点29：底稿中应当判定加班合规或超标。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考点30：底稿中应当识别超过月最大加班36小时的门店。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考点31：底稿中应当指出社保公积金基数合规要求。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考点32：底稿中应当指出兼职比例合规要求。</w:t>
      </w:r>
    </w:p>
    <w:p>
      <w:pPr>
        <w:spacing w:lineRule="exact" w:line="400" w:after="60"/>
        <w:jc w:val="both"/>
      </w:pPr>
      <w:r>
        <w:rPr>
          <w:rFonts w:ascii="宋体" w:hAnsi="宋体" w:eastAsia="宋体"/>
          <w:b/>
          <w:sz w:val="21"/>
        </w:rPr>
        <w:t>（五）风险与退出（考点33—39）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考点33：底稿中应当列示10项风险。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考点34：底稿中应当对每项风险给出量化触发阈值。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考点35：底稿中应当对每项风险给出应对措施。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考点36：底稿中应当列示6类退出机制。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考点37：底稿中应当对每类退出机制给出触发条件。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考点38：底稿中应当对每类退出机制给出回收与损失处理方案。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考点39：底稿中应当明确人工占比红线18%。</w:t>
      </w:r>
    </w:p>
    <w:p>
      <w:pPr>
        <w:spacing w:lineRule="exact" w:line="400" w:after="60"/>
        <w:jc w:val="both"/>
      </w:pPr>
      <w:r>
        <w:rPr>
          <w:rFonts w:ascii="宋体" w:hAnsi="宋体" w:eastAsia="宋体"/>
          <w:b/>
          <w:sz w:val="21"/>
        </w:rPr>
        <w:t>（六）错误要求驳回（考点40—44）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考点40：底稿中应当逐条识别管理层12项错误要求。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考点41：底稿中应当识别直接裁人、多用兼职、加班费随意、社保按最低基数、假期无限增人、平峰凑编制、忽略社保、不管加盟店、跨期调节工时、请假扣款一刀切、岗位错配、优化一次即可等错误要求。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考点42：底稿中应当对每项错误要求给出不予采纳结论。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考点43：底稿中应当对每项错误要求说明正确做法。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考点44：底稿中应当说明营业额±10%情景下人工占比的变化方向。</w:t>
      </w:r>
    </w:p>
    <w:p>
      <w:pPr>
        <w:spacing w:lineRule="exact" w:line="400" w:after="60"/>
        <w:jc w:val="both"/>
      </w:pPr>
      <w:r>
        <w:rPr>
          <w:rFonts w:ascii="宋体" w:hAnsi="宋体" w:eastAsia="宋体"/>
          <w:b/>
          <w:sz w:val="21"/>
        </w:rPr>
        <w:t>（七）勾稽与结论（考点45—50）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考点45：底稿中应当完成21项以上勾稽，覆盖门店数、员工数、营业记录、工时记录、规则参数、风险数、退出机制数、敏感性分析门店数。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考点46：底稿中勾稽结论应当全部为一致。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考点47：底稿中应当列示勾稽不一致项数量为0。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考点48：底稿中应当给出核心结论，包含达标门店数、加班合规门店数、优化方向。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考点49：底稿中核心结论须由四条支撑组成。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• 考点50：底稿中应当列出关键结果，包括人工占比、人效、加班率、勾稽状态。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4"/>
        </w:rPr>
        <w:t>十、答题思路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第一步是读取门店基础信息、员工信息、Q1历史营业、Q1实际工时、五一预测、平峰期预测、排班规则。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第二步是计算每家门店Q1人工成本、人工占比、人效，判定达标状态。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第三步是根据五一客流预测计算假期需求工时，给出全职、兼职排班方案。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第四步是根据平峰期预测计算普通工作日排班方案。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第五步是对比实际工时与标准工时，识别加班合规问题。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第六步是列出10项风险、6类退出机制。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第七步是逐条驳回12项管理层错误要求。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第八步是完成敏感性分析和勾稽自检，给出核心结论。</w:t>
      </w:r>
    </w:p>
    <w:p>
      <w:pPr>
        <w:pStyle w:val="Heading2"/>
        <w:spacing w:before="240" w:after="120"/>
        <w:jc w:val="left"/>
      </w:pPr>
      <w:r>
        <w:rPr>
          <w:rFonts w:ascii="黑体" w:hAnsi="黑体" w:eastAsia="黑体"/>
          <w:b/>
          <w:sz w:val="24"/>
        </w:rPr>
        <w:t>十一、标准答案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标准答案共8个包，首表为门店人效排班结论，逐包覆盖人效分析、五一排班、平峰排班、加班合规、风险退出、错误驳回、敏感性分析和勾稽自检。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/>
          <w:sz w:val="21"/>
        </w:rPr>
        <w:t>核心结论：6家门店Q1营业额合计699.4万元，人工成本合计541548.0元，平均人工占比8.17%，2家门店人工占比与人效双达标；五一假期须按客流预测动态增排兼职，平峰期按日均客流配置全职+兼职；共识别4家门店加班合规超标，须限期整改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支撑一：人工成本=工资+加班费+社保公积金；Q1人效目标350元/小时、人工占比红线18%；2家门店双达标。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支撑二：五一排班按预测客流×单客服务工时计算需求工时，优先使用全职，不足部分由兼职补充，兼职占比不超过30%。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支撑三：平峰期按周需求工时配置，保证全职基本收入同时控制无效工时，避免为凑编制而过度排班。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 w:val="0"/>
          <w:sz w:val="21"/>
        </w:rPr>
        <w:t>支撑四：列出10项风险与6类退出机制，覆盖成本失控、加班合规、兼职流动、客流失配、社保违规、数据造假等情形。</w:t>
      </w:r>
    </w:p>
    <w:p>
      <w:pPr>
        <w:spacing w:lineRule="exact" w:line="400" w:after="60"/>
        <w:ind w:firstLine="432"/>
        <w:jc w:val="both"/>
      </w:pPr>
      <w:r>
        <w:rPr>
          <w:rFonts w:ascii="宋体" w:hAnsi="宋体" w:eastAsia="宋体"/>
          <w:b/>
          <w:sz w:val="21"/>
        </w:rPr>
        <w:t>关键结果：6家门店Q1人效与人工占比达标2家、未达标4家；2家门店加班合规、4家门店加班超标；21项勾稽全部一致，不一致项为0。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>麦淳餐饮管理有限公司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门店人效排班_v1</dc:title>
  <dc:subject>高经济价值第六期</dc:subject>
  <dc:creator>运营分析部</dc:creator>
  <cp:lastModifiedBy>运营分析部</cp:lastModifiedBy>
  <cp:revision>1</cp:revision>
  <dcterms:created xsi:type="dcterms:W3CDTF">2026-03-30T10:00:00Z</dcterms:created>
  <dcterms:modified xsi:type="dcterms:W3CDTF">2026-03-30T10:00:00Z</dcterms:modified>
</cp:coreProperties>
</file>