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Title"/>
        <w:jc w:val="left"/>
      </w:pPr>
      <w:r>
        <w:rPr>
          <w:rFonts w:ascii="宋体" w:hAnsi="宋体" w:eastAsia="宋体"/>
        </w:rPr>
        <w:t>连锁门店2026年Q1经营分析与亏损店处置</w:t>
      </w:r>
    </w:p>
    <w:p>
      <w:pPr>
        <w:pStyle w:val="Heading1"/>
        <w:jc w:val="left"/>
      </w:pPr>
      <w:r>
        <w:rPr>
          <w:rFonts w:ascii="宋体" w:hAnsi="宋体" w:eastAsia="宋体"/>
        </w:rPr>
        <w:t>一、编号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G6-ZX-004（v1）。</w:t>
      </w:r>
    </w:p>
    <w:p>
      <w:pPr>
        <w:pStyle w:val="Heading1"/>
        <w:jc w:val="left"/>
      </w:pPr>
      <w:r>
        <w:rPr>
          <w:rFonts w:ascii="宋体" w:hAnsi="宋体" w:eastAsia="宋体"/>
        </w:rPr>
        <w:t>二、任务背景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麦淳餐饮管理有限公司是一家连锁烘焙与轻食品牌，截至2026年3月共运营20家门店，分布在苏州、无锡、宁波、杭州、合肥、南昌六个城市，其中直营18家、加盟2家。2026年4月，公司召开一季度经营分析会，发现杭州、合肥、南昌新店爬坡不及预期，无锡惠山万达、南昌青山湖万象汇等门店连续亏损。现受运营总监与财务总监委托，以运营分析岗身份，对20家门店Q1经营数据完成盈利分级、亏损归因、外卖对账、盘点责任划分、店长奖金核算和亏损店处置建议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数据截止日为2026年3月31日，分析基准日为2026年4月5日。所有结论须可回溯到附件逐条记录，不得只给汇总数。凡涉及分级、归因、责任、扣减、处置的记录，必须逐条说明触发条件与依据。</w:t>
      </w:r>
    </w:p>
    <w:p>
      <w:pPr>
        <w:pStyle w:val="Heading1"/>
        <w:jc w:val="left"/>
      </w:pPr>
      <w:r>
        <w:rPr>
          <w:rFonts w:ascii="宋体" w:hAnsi="宋体" w:eastAsia="宋体"/>
        </w:rPr>
        <w:t>三、任务分解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本项委托按八轮执行，每轮只完成一个任务，并只提交当轮对应交付包。上一轮自检通过后，方可进入下一轮；未完成或自检不通过，不得进入下一轮，也不得提前输出后续轮次结果。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第1轮为门店盈利分级。完成20家门店Q1营业收入、EBITDA、EBITDA率计算，按A级≥12%、B级8%-12%、C级4%-8%、D级&lt;4%分级。本轮只输出01门店盈利分级.rar。本轮自检要求20家门店均有分级，分级标准与制度一致。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第2轮为单店差异归因。对比预算与实际营收、EBITDA，逐店归因租金、外卖佣金、损耗等差异。本轮只输出02单店差异归因.rar。本轮自检要求20家门店均有差异归因，C/D级门店有明确主因。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第3轮为外卖对账差异。逐店核对外卖GMV、平台佣金、平台实收与门店入账，识别少计、多计收入。本轮只输出03外卖对账差异.rar。本轮自检要求差异门店均有原因说明。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第4轮为盘点损耗与责任。逐店计算Q1平均差异率，超2%认定门店责任。本轮只输出04盘点损耗与责任.rar。本轮自检要求超标门店均有责任认定。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第5轮为店长奖金核算。按基础奖金、EBITDA达成率、营收达成率、损耗达标计算奖金系数，D级扣减50%。本轮只输出05店长奖金核算.rar。本轮自检要求20家店长奖金均有计算，D级门店标注追回。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第6轮为亏损店处置建议。对C/D级门店给出整改、转址、关店建议。本轮只输出06亏损店处置建议.rar。本轮自检要求D级门店均有处置路径。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第7轮为风险清单与退出机制。列出10项风险、量化触发阈值、应对措施和退出动作。本轮只输出07风险清单与退出机制.rar。本轮自检要求10项风险均有阈值，6类退出机制均有回收与损失处理。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第8轮为勾稽自检与经营分析结论。完成24项勾稽并给出一句话核心结论。本轮只输出08勾稽自检与经营分析结论.rar。本轮自检要求24项全部闭合、不一致项为0；未闭合不得出具结论。</w:t>
      </w:r>
    </w:p>
    <w:p>
      <w:pPr>
        <w:pStyle w:val="Heading1"/>
        <w:jc w:val="left"/>
      </w:pPr>
      <w:r>
        <w:rPr>
          <w:rFonts w:ascii="宋体" w:hAnsi="宋体" w:eastAsia="宋体"/>
        </w:rPr>
        <w:t>四、输入附件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输入附件共8包。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01门店基础与组织架构.rar，包含门店基础信息、城市与区域。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02门店Q1分月P&amp;L.rar，包含门店Q1分月P&amp;L。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03POS流水与外卖结算.rar，包含POS堂食流水、外卖平台结算单。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04排班工时与工资.rar，包含排班工时与工资。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05租约明细.rar，包含租约明细。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06盘点损耗与总部分摊.rar，包含月度盘点、总部分摊规则。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07店长绩效考核办法.rar，包含店长绩效考核办法。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08财务口径与管理层要求.rar，包含财务确认规则、管理层要求。</w:t>
      </w:r>
    </w:p>
    <w:p>
      <w:pPr>
        <w:pStyle w:val="Heading1"/>
        <w:jc w:val="left"/>
      </w:pPr>
      <w:r>
        <w:rPr>
          <w:rFonts w:ascii="宋体" w:hAnsi="宋体" w:eastAsia="宋体"/>
        </w:rPr>
        <w:t>五、制度与判断规则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门店共20家，直营18家、加盟2家。加盟门店P&amp;L按门店口径核算，公司仅确认授权费与供应链毛利，不并入直营利润。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营业收入等于堂食净额加外卖GMV，外卖GMV含平台补贴，退款冲减收入。堂食净额等于堂食应收减堂食退款。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外卖平台佣金仅对外卖GMV按18%计提，不得对堂食收入计提。平台实收等于外卖GMV减平台佣金减配送费减退款加平台补贴。门店入账应等于外卖GMV。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食材成本率36%、人工成本率21%、水电能耗费率3%、营销推广费率4%、管理与中央厨房分摊率6%，均按营业收入计提。人工含店长、烘焙、服务、兼职与社保公积金。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租金含物业费，按租约月租金乘面积计算，Q1无免租期剩余。折旧按建店投资5年直线计提，残值为0，月折旧等于建店投资除以60。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所得税按正税前利润的25%计提，亏损年度所得税为0。税前利润等于EBITDA减折旧。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门店分级：A级EBITDA率不低于12%，B级8%至12%，C级4%至8%，D级低于4%或连续亏损。D级门店启动整改，连续2季D级启动关店或转址。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盘点差异率不超过2%为正常损耗，超过2%由门店承担并从店长奖金扣除。差异金额计入食材成本。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店长奖金等于基础奖金乘奖金系数。基础奖金A级1.2万元、B级1万元、C级0.8万元、D级0.5万元，D级扣减50%。奖金系数等于EBITDA达成率乘0.5加营收达成率乘0.3加损耗达标得分乘0.2，各项上限1.5。损耗达标得分为1减超过2%部分乘以10，最低为0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预算营收等于稳定月营收乘3，预算EBITDA按标准费率测算。</w:t>
      </w:r>
    </w:p>
    <w:p>
      <w:pPr>
        <w:pStyle w:val="Heading1"/>
        <w:jc w:val="left"/>
      </w:pPr>
      <w:r>
        <w:rPr>
          <w:rFonts w:ascii="宋体" w:hAnsi="宋体" w:eastAsia="宋体"/>
        </w:rPr>
        <w:t>六、交付物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01 门店盈利分级.rar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02 单店差异归因.rar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03 外卖对账差异.rar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04 盘点损耗与责任.rar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05 店长奖金核算.rar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06 亏损店处置建议.rar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07 风险清单与退出机制.rar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08 勾稽自检与经营分析结论.rar</w:t>
      </w:r>
    </w:p>
    <w:p>
      <w:pPr>
        <w:pStyle w:val="Heading1"/>
        <w:jc w:val="left"/>
      </w:pPr>
      <w:r>
        <w:rPr>
          <w:rFonts w:ascii="宋体" w:hAnsi="宋体" w:eastAsia="宋体"/>
        </w:rPr>
        <w:t>七、约束条件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1. 仅使用附件材料，不得引入外部数据，不得联网检索。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2. 对外报表金额以万元列示并保留两位小数，比例保留两位；底层计算以元为单位，不得混用。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3. 逐门店给出结论，不得抽样或估算；每条记录必须有明确状态，不得留空。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4. 20家门店编号唯一，不得跨城市重复计入；六城门店数为4/4/4/3/3/2。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5. 加盟门店P&amp;L不并入公司利润，公司仅确认授权费与供应链毛利。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6. 营业收入等于堂食净额加外卖GMV，外卖GMV含平台补贴，退款冲减收入。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7. 外卖平台佣金只对外卖GMV按18%计提，不得对堂食收入或全部收入计提。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8. 门店入账外卖收入应等于外卖GMV，不得按平台实收入账。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9. 食材、人工、水电、营销、管理分摊比例固定，不得逐店调整。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10. 租金含物业费，Q1无免租期剩余，不得忽略物业费。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11. 折旧按5年直线计提，月折旧等于建店投资除以60。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12. 所得税按正税前利润的25%计提，亏损年度所得税为0。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13. 门店分级按EBITDA率，A级≥12%、B级8%-12%、C级4%-8%、D级&lt;4%。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14. D级门店启动整改，连续2季D级才关店或转址，不得立即关店。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15. 盘点差异率超过2%认定门店责任，从店长奖金扣除。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16. 店长奖金系数为EBITDA达成×0.5+营收达成×0.3+损耗达标×0.2，各项上限1.5。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17. D级门店基础奖金扣减50%，并追回已发预提。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18. 必须列出10项风险和6类退出机制，每项风险须有量化触发阈值。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19. 24项勾稽全部闭合后方可出具核心结论；任一项不闭合视为未完成。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20. 必须按八轮顺序逐轮交付，每轮只完成一个任务，不得一次性输出全部结果。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21. 每轮结束必须提交本轮自检记录，列明检查项、结果、证据和未通过原因；上一轮未通过不得进入下一轮。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22. 每轮只提交当轮对应交付包，不得跨轮合并或提前输出；任何一轮无法完成时必须停止并说明缺口；八轮全部通过方视为完成。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23. 所有外卖对账差异必须逐条说明原因，不得合并为差异总额。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24. 所有处置建议必须有明确触发条件与时间节点，不得只给方向性意见。</w:t>
      </w:r>
    </w:p>
    <w:p>
      <w:pPr>
        <w:pStyle w:val="Heading1"/>
        <w:jc w:val="left"/>
      </w:pPr>
      <w:r>
        <w:rPr>
          <w:rFonts w:ascii="宋体" w:hAnsi="宋体" w:eastAsia="宋体"/>
        </w:rPr>
        <w:t>八、完成标准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八轮任务逐轮完成且逐轮自检通过。20家门店全部分级，A级5家、B级9家、C级3家、D级3家；Q1合计营收4067.6万元、EBITDA 379.7万元、税后利润114.2万元；外卖对账差异3家、盘点超标2家；店长奖金合计17.03万元；10项风险和6类退出机制完整；24项勾稽全部闭合、不一致项为0。任一轮未完成或自检不通过，不得进入下一轮，整体不得视为完成。</w:t>
      </w:r>
    </w:p>
    <w:p>
      <w:pPr>
        <w:pStyle w:val="Heading1"/>
        <w:jc w:val="left"/>
      </w:pPr>
      <w:r>
        <w:rPr>
          <w:rFonts w:ascii="宋体" w:hAnsi="宋体" w:eastAsia="宋体"/>
        </w:rPr>
        <w:t>九、考点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考点按数据治理、收入确认、成本费用、外卖对账、盘点责任、门店分级、差异归因、店长奖金、亏损处置、风险退出、勾稽结论十一组展开，共50项。</w:t>
      </w:r>
    </w:p>
    <w:p>
      <w:pPr>
        <w:pStyle w:val="Heading2"/>
        <w:jc w:val="left"/>
      </w:pPr>
      <w:r>
        <w:rPr>
          <w:rFonts w:ascii="宋体" w:hAnsi="宋体" w:eastAsia="宋体"/>
        </w:rPr>
        <w:t>（一）数据治理与门店清单（考点1—5）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考点1：门店共20家，苏州4家、无锡4家、宁波4家、杭州3家、合肥3家、南昌2家，编号唯一。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考点2：直营18家、加盟2家，加盟门店为HF03和NC03，利润不并入公司。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考点3：门店基础信息含面积、开业日、店长、稳定月营收、外卖占比、租金占比、建店投资。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考点4：租约明细含月租金、物业费、免租期剩余、年递增、押金月数、合同到期日。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考点5：Q1为2026年1月至3月，12月开业门店有爬坡系数0.95。</w:t>
      </w:r>
    </w:p>
    <w:p>
      <w:pPr>
        <w:pStyle w:val="Heading2"/>
        <w:jc w:val="left"/>
      </w:pPr>
      <w:r>
        <w:rPr>
          <w:rFonts w:ascii="宋体" w:hAnsi="宋体" w:eastAsia="宋体"/>
        </w:rPr>
        <w:t>（二）收入确认（考点6—10）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考点6：营业收入等于堂食净额加外卖GMV，不得用堂食应收或平台实收。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考点7：堂食净额等于堂食应收减堂食退款，退款冲减收入。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考点8：外卖GMV含平台补贴，平台补贴应计入收入。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考点9：门店入账外卖收入应等于外卖GMV，SZ04按实收入账少计收入。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考点10：NC03退款未冲减收入，导致多计收入。</w:t>
      </w:r>
    </w:p>
    <w:p>
      <w:pPr>
        <w:pStyle w:val="Heading2"/>
        <w:jc w:val="left"/>
      </w:pPr>
      <w:r>
        <w:rPr>
          <w:rFonts w:ascii="宋体" w:hAnsi="宋体" w:eastAsia="宋体"/>
        </w:rPr>
        <w:t>（三）成本与费用（考点11—15）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考点11：食材成本率36%、人工21%、水电3%、营销4%、管理分摊6%，按营业收入计提。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考点12：人工成本含店长、烘焙、服务、兼职与社保公积金，社保按应发工资28%计提。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考点13：租金含物业费，按月租金加物业费乘面积计算。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考点14：折旧按建店投资5年直线计提，月折旧等于建店投资除以60。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考点15：所得税按正税前利润的25%计提，亏损年度所得税为0。</w:t>
      </w:r>
    </w:p>
    <w:p>
      <w:pPr>
        <w:pStyle w:val="Heading2"/>
        <w:jc w:val="left"/>
      </w:pPr>
      <w:r>
        <w:rPr>
          <w:rFonts w:ascii="宋体" w:hAnsi="宋体" w:eastAsia="宋体"/>
        </w:rPr>
        <w:t>（四）外卖佣金与对账（考点16—20）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考点16：外卖平台佣金只对外卖GMV按18%计提，不得对堂食收入计提。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考点17：平台实收等于外卖GMV减佣金减配送费减退款加平台补贴。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考点18：门店入账应等于外卖GMV，与平台实收的差额为佣金、配送费、退款和补贴。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考点19：WX04平台补贴未计入收入，导致少计收入。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考点20：外卖对账差异共3家，分别为SZ04、WX04、NC03。</w:t>
      </w:r>
    </w:p>
    <w:p>
      <w:pPr>
        <w:pStyle w:val="Heading2"/>
        <w:jc w:val="left"/>
      </w:pPr>
      <w:r>
        <w:rPr>
          <w:rFonts w:ascii="宋体" w:hAnsi="宋体" w:eastAsia="宋体"/>
        </w:rPr>
        <w:t>（五）盘点损耗与责任（考点21—25）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考点21：盘点差异率等于差异金额除以账面库存。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考点22：差异率不超过2%为正常损耗，超过2%认定门店责任。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考点23：WX04和NB04盘点差异率超标，认定门店责任。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考点24：差异金额计入食材成本，从店长奖金扣除。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考点25：损耗达标得分等于1减超过2%部分乘以10，最低为0。</w:t>
      </w:r>
    </w:p>
    <w:p>
      <w:pPr>
        <w:pStyle w:val="Heading2"/>
        <w:jc w:val="left"/>
      </w:pPr>
      <w:r>
        <w:rPr>
          <w:rFonts w:ascii="宋体" w:hAnsi="宋体" w:eastAsia="宋体"/>
        </w:rPr>
        <w:t>（六）门店分级（考点26—30）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考点26：A级EBITDA率不低于12%，B级8%至12%，C级4%至8%，D级低于4%。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考点27：20家门店分级为A级5家、B级9家、C级3家、D级3家。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考点28：D级门店为HZ04、WX04、NC03，启动整改。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考点29：EBITDA率等于Q1 EBITDA除以Q1营业收入。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考点30：加盟门店按门店口径分级，不影响公司利润并表。</w:t>
      </w:r>
    </w:p>
    <w:p>
      <w:pPr>
        <w:pStyle w:val="Heading2"/>
        <w:jc w:val="left"/>
      </w:pPr>
      <w:r>
        <w:rPr>
          <w:rFonts w:ascii="宋体" w:hAnsi="宋体" w:eastAsia="宋体"/>
        </w:rPr>
        <w:t>（七）预算与差异归因（考点31—35）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考点31：预算营收等于稳定月营收乘3，预算EBITDA按标准费率测算。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考点32：营收差异等于实际营收减预算营收，EBITDA差异同理。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考点33：C/D级门店主要归因为租金占比过高、客流下滑或损耗超标。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考点34：WX04租金占收入超过15%且客流下滑，是亏损主因。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考点35：差异归因须逐店给出，不得合并说明。</w:t>
      </w:r>
    </w:p>
    <w:p>
      <w:pPr>
        <w:pStyle w:val="Heading2"/>
        <w:jc w:val="left"/>
      </w:pPr>
      <w:r>
        <w:rPr>
          <w:rFonts w:ascii="宋体" w:hAnsi="宋体" w:eastAsia="宋体"/>
        </w:rPr>
        <w:t>（八）店长奖金（考点36—40）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考点36：基础奖金A级1.2万、B级1万、C级0.8万、D级0.5万。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考点37：奖金系数等于EBITDA达成率乘0.5加营收达成率乘0.3加损耗达标得分乘0.2。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考点38：EBITDA达成率和营收达成率上限1.5，最低为0。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考点39：D级门店基础奖金扣减50%，并追回已发预提。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考点40：20家店长奖金合计17.03万元。</w:t>
      </w:r>
    </w:p>
    <w:p>
      <w:pPr>
        <w:pStyle w:val="Heading2"/>
        <w:jc w:val="left"/>
      </w:pPr>
      <w:r>
        <w:rPr>
          <w:rFonts w:ascii="宋体" w:hAnsi="宋体" w:eastAsia="宋体"/>
        </w:rPr>
        <w:t>（九）亏损店处置（考点41—44）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考点41：D级门店启动整改，连续2季D级才关店或转址。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考点42：C级门店限期整改，Q2复核。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考点43：A级门店保持经营，可作为标杆复制。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考点44：处置建议须有明确触发条件与时间节点。</w:t>
      </w:r>
    </w:p>
    <w:p>
      <w:pPr>
        <w:pStyle w:val="Heading2"/>
        <w:jc w:val="left"/>
      </w:pPr>
      <w:r>
        <w:rPr>
          <w:rFonts w:ascii="宋体" w:hAnsi="宋体" w:eastAsia="宋体"/>
        </w:rPr>
        <w:t>（十）风险与退出（考点45—47）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考点45：列出客流下滑、租金占比过高、外卖佣金上调、盘点损耗超标、新店爬坡不及预期、店长流失、食安证照、加盟商违约、总部分摊争议、竞品进入共10项风险。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考点46：连续2季EBITDA率低于4%，或租金占收入连续2季超过18%，启动关店或转址。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考点47：退出机制含设备回收、装修损失、押金退还、保证金抵扣等处理。</w:t>
      </w:r>
    </w:p>
    <w:p>
      <w:pPr>
        <w:pStyle w:val="Heading2"/>
        <w:jc w:val="left"/>
      </w:pPr>
      <w:r>
        <w:rPr>
          <w:rFonts w:ascii="宋体" w:hAnsi="宋体" w:eastAsia="宋体"/>
        </w:rPr>
        <w:t>（十一）勾稽与核心结论（考点48—50）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考点48：24项勾稽覆盖门店数、城市分布、分级、营收、EBITDA、利润、外卖差异、盘点超标、奖金，全部闭合。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考点49：加盟门店利润不并表，公司仅确认授权费与供应链毛利。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考点50：核心结论为20家门店Q1合计营收4067.6万元、EBITDA 379.7万元、税后利润114.2万元，D级门店启动整改。</w:t>
      </w:r>
    </w:p>
    <w:p>
      <w:pPr>
        <w:pStyle w:val="Heading1"/>
        <w:jc w:val="left"/>
      </w:pPr>
      <w:r>
        <w:rPr>
          <w:rFonts w:ascii="宋体" w:hAnsi="宋体" w:eastAsia="宋体"/>
        </w:rPr>
        <w:t>十、答题思路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第一步是读取门店基础、租约、P&amp;L、POS、外卖结算、排班、盘点和考核办法，锁定20家门店及六城分布。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第二步是按制度费率重新计算每家门店Q1的营收、成本、EBITDA和税后利润，与P&amp;L核对。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第三步是按EBITDA率对20家门店分级，识别A级、B级、C级、D级门店。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第四步是对比预算与实际，逐店做营收和EBITDA差异归因，重点分析C/D级门店。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第五步是逐店核对外卖GMV与门店入账，识别少计、多计收入的门店并说明原因。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第六步是计算每家门店Q1平均盘点差异率，认定门店责任并计算对奖金的影响。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第七步是按基础奖金、达成率和损耗得分计算每家店长奖金，D级扣减50%并标注追回。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第八步是对C/D级门店给出处置建议，明确整改、转址、关店的触发条件与时间节点。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第九步是完成10项风险、6类退出机制和24项勾稽，最后给出一句话核心结论。</w:t>
      </w:r>
    </w:p>
    <w:p>
      <w:pPr>
        <w:pStyle w:val="Heading1"/>
        <w:jc w:val="left"/>
      </w:pPr>
      <w:r>
        <w:rPr>
          <w:rFonts w:ascii="宋体" w:hAnsi="宋体" w:eastAsia="宋体"/>
        </w:rPr>
        <w:t>十一、标准答案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标准答案共8个包，首表为经营分析结论，逐包覆盖盈利分级、差异归因、外卖对账、盘点责任、店长奖金、处置建议、风险退出和勾稽自检。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/>
          <w:sz w:val="21"/>
        </w:rPr>
        <w:t>20家门店Q1合计营收4067.6万元、EBITDA 379.7万元、税后利润114.2万元；A级5家、B级9家、C级3家、D级3家；D级门店为HZ04、WX04、NC03，启动整改，连续2季D级则关店或转址；外卖对账差异3家、盘点超标2家，已明确责任；店长奖金合计17.03万元。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20家门店Q1合计营收4067.6万元、EBITDA 379.7万元、税后利润114.2万元；A级5家、B级9家、C级3家、D级3家。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D级门店为HZ04、WX04、NC03，租金占收入超过15%且客流下滑，启动整改，连续2季D级则关店或转址；C级门店NB04、WX03、SZ04限期整改。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外卖对账差异3家（SZ04少计收入、WX04补贴未计、NC03退款未冲减），盘点超标2家（WX04、NB04），已明确门店责任并从奖金扣除。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店长奖金合计17.03万元，D级门店基础奖金扣减50%并追回已发预提；加盟门店利润不并表，仅确认授权费与供应链毛利。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关键结果：20家门店Q1合计营收4067.6万元、EBITDA 379.7万元、税后利润114.2万元；A级5家、B级9家、C级3家、D级3家；外卖对账差异3家、盘点超标2家；店长奖金合计17.03万元；24项勾稽全部闭合，不一致项为0。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麦淳餐饮管理有限公司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运营分析部</dc:creator>
  <cp:lastModifiedBy>运营分析部</cp:lastModifiedBy>
  <dcterms:created xsi:type="dcterms:W3CDTF">2026-04-03T02:00:00Z</dcterms:created>
  <dcterms:modified xsi:type="dcterms:W3CDTF">2026-04-05T01:00:00Z</dcterms:modified>
</cp:coreProperties>
</file>