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智能制造数字化升级项目整改方案</w:t>
      </w:r>
    </w:p>
    <w:p>
      <w:pPr>
        <w:pStyle w:val="Heading2"/>
      </w:pPr>
      <w:r>
        <w:t>【一、整改目标】</w:t>
      </w:r>
    </w:p>
    <w:p>
      <w:pPr>
        <w:ind w:firstLine="480"/>
      </w:pPr>
      <w:r>
        <w:t>通过四阶段整改，追回违规资金，完善管理制度，重构业务方案，最大限度降低项目损失。</w:t>
      </w:r>
    </w:p>
    <w:p>
      <w:pPr>
        <w:pStyle w:val="Heading2"/>
      </w:pPr>
      <w:r>
        <w:t>【二、整改阶段】</w:t>
      </w:r>
    </w:p>
    <w:p>
      <w:pPr>
        <w:ind w:firstLine="480"/>
      </w:pPr>
      <w:r>
        <w:t>第一阶段（1-15天）重大违规立即整改：追回挪用资金500万元、追回重复付款、撤销虚假验收、报告董事会项目烂尾情况。</w:t>
      </w:r>
    </w:p>
    <w:p>
      <w:pPr>
        <w:ind w:firstLine="480"/>
      </w:pPr>
      <w:r>
        <w:t>第二阶段（16-30天）一般违规整改：补办无审批支付手续、补充合同缺失条款、终止资质不全供应商合作、补充需求确认签字、补办变更审批。</w:t>
      </w:r>
    </w:p>
    <w:p>
      <w:pPr>
        <w:ind w:firstLine="480"/>
      </w:pPr>
      <w:r>
        <w:t>第三阶段（31-60天）制度建设：修订5份管理制度缺陷条款，建立预算超支审批机制、无审批支付追责机制、虚假验收追责机制、供应商黑名单机制。</w:t>
      </w:r>
    </w:p>
    <w:p>
      <w:pPr>
        <w:ind w:firstLine="480"/>
      </w:pPr>
      <w:r>
        <w:t>第四阶段（61-90天）业务重构与验收：评估现有可复用资产、编制业务重构方案、分阶段上线可用模块、第三方审计验收。</w:t>
      </w:r>
    </w:p>
    <w:p>
      <w:pPr>
        <w:pStyle w:val="Heading2"/>
      </w:pPr>
      <w:r>
        <w:t>【三、止损措施】</w:t>
      </w:r>
    </w:p>
    <w:p>
      <w:pPr>
        <w:ind w:firstLine="480"/>
      </w:pPr>
      <w:r>
        <w:t>1. 立即停止所有无审批支付；2. 追回挪用资金和重复付款；3. 终止资质不全供应商合同；4. 冻结未达标交付物付款；5. 重新评估项目剩余价值。</w:t>
      </w:r>
    </w:p>
    <w:p>
      <w:pPr>
        <w:pStyle w:val="Heading2"/>
      </w:pPr>
      <w:r>
        <w:t>【四、业务重构建议】</w:t>
      </w:r>
    </w:p>
    <w:p>
      <w:pPr>
        <w:ind w:firstLine="480"/>
      </w:pPr>
      <w:r>
        <w:t>保留已验收合格的17项交付物和12项合规合同，重构ERP核心模块和MES基础模块，暂缓电商平台开发，分阶段实施。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