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管理层关于项目止损的十项要求</w:t>
      </w:r>
    </w:p>
    <w:p>
      <w:pPr>
        <w:pStyle w:val="Heading2"/>
      </w:pPr>
      <w:r>
        <w:t>【管理层要求】</w:t>
      </w:r>
    </w:p>
    <w:p>
      <w:pPr>
        <w:ind w:firstLine="480"/>
      </w:pPr>
      <w:r>
        <w:t>针对智能制造数字化升级项目停滞问题，管理层提出以下要求：</w:t>
      </w:r>
    </w:p>
    <w:p>
      <w:pPr>
        <w:ind w:firstLine="480"/>
      </w:pPr>
      <w:r>
        <w:t>要求1：继续追加预算2000万元，不进行预算审计。</w:t>
      </w:r>
    </w:p>
    <w:p>
      <w:pPr>
        <w:ind w:firstLine="480"/>
      </w:pPr>
      <w:r>
        <w:t>要求2：对未招标采购的8份合同补签手续，不追究相关责任。</w:t>
      </w:r>
    </w:p>
    <w:p>
      <w:pPr>
        <w:ind w:firstLine="480"/>
      </w:pPr>
      <w:r>
        <w:t>要求3：对虚假验收的交付物不予纠正，按已验收处理。</w:t>
      </w:r>
    </w:p>
    <w:p>
      <w:pPr>
        <w:ind w:firstLine="480"/>
      </w:pPr>
      <w:r>
        <w:t>要求4：对挪用至关联公司的500万元资金不予追回。</w:t>
      </w:r>
    </w:p>
    <w:p>
      <w:pPr>
        <w:ind w:firstLine="480"/>
      </w:pPr>
      <w:r>
        <w:t>要求5：变更需求不审批直接实施，加快项目进度。</w:t>
      </w:r>
    </w:p>
    <w:p>
      <w:pPr>
        <w:ind w:firstLine="480"/>
      </w:pPr>
      <w:r>
        <w:t>要求6：对资质不全的5家供应商继续合作，不重新招标。</w:t>
      </w:r>
    </w:p>
    <w:p>
      <w:pPr>
        <w:ind w:firstLine="480"/>
      </w:pPr>
      <w:r>
        <w:t>要求7：对未达标的交付物强制验收，推进项目上线。</w:t>
      </w:r>
    </w:p>
    <w:p>
      <w:pPr>
        <w:ind w:firstLine="480"/>
      </w:pPr>
      <w:r>
        <w:t>要求8：对重复付款的3份合同不追回多付款项。</w:t>
      </w:r>
    </w:p>
    <w:p>
      <w:pPr>
        <w:ind w:firstLine="480"/>
      </w:pPr>
      <w:r>
        <w:t>要求9：项目烂尾情况不报告董事会，内部消化处理。</w:t>
      </w:r>
    </w:p>
    <w:p>
      <w:pPr>
        <w:ind w:firstLine="480"/>
      </w:pPr>
      <w:r>
        <w:t>要求10：业务重构方案不考虑现有可复用资产，全部推倒重来。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