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项目采购管理制度</w:t>
      </w:r>
    </w:p>
    <w:p>
      <w:pPr>
        <w:pStyle w:val="Heading2"/>
      </w:pPr>
      <w:r>
        <w:t>【第一章 总则】</w:t>
      </w:r>
    </w:p>
    <w:p>
      <w:pPr>
        <w:ind w:firstLine="480"/>
      </w:pPr>
      <w:r>
        <w:t>为规范项目采购行为，根据《招标投标法》制定本制度。</w:t>
      </w:r>
    </w:p>
    <w:p>
      <w:pPr>
        <w:pStyle w:val="Heading2"/>
      </w:pPr>
      <w:r>
        <w:t>【第二章 采购方式】</w:t>
      </w:r>
    </w:p>
    <w:p>
      <w:pPr>
        <w:ind w:firstLine="480"/>
      </w:pPr>
      <w:r>
        <w:t>合同金额超过50万元的采购须进行公开招标。特殊情况需单一来源采购的，须经指导委员会审批。</w:t>
      </w:r>
    </w:p>
    <w:p>
      <w:pPr>
        <w:pStyle w:val="Heading2"/>
      </w:pPr>
      <w:r>
        <w:t>【第三章 合同管理】</w:t>
      </w:r>
    </w:p>
    <w:p>
      <w:pPr>
        <w:ind w:firstLine="480"/>
      </w:pPr>
      <w:r>
        <w:t>合同须包含验收标准、违约责任、付款条件等必备条款。</w:t>
      </w:r>
    </w:p>
    <w:p>
      <w:pPr>
        <w:pStyle w:val="Heading2"/>
      </w:pPr>
      <w:r>
        <w:t>【存在问题】</w:t>
      </w:r>
    </w:p>
    <w:p>
      <w:pPr>
        <w:ind w:firstLine="480"/>
      </w:pPr>
      <w:r>
        <w:t>制度未明确单一来源采购的具体审批流程，存在漏洞。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