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项目需求管理制度</w:t>
      </w:r>
    </w:p>
    <w:p>
      <w:pPr>
        <w:pStyle w:val="Heading2"/>
      </w:pPr>
      <w:r>
        <w:t>【第一章 总则】</w:t>
      </w:r>
    </w:p>
    <w:p>
      <w:pPr>
        <w:ind w:firstLine="480"/>
      </w:pPr>
      <w:r>
        <w:t>为规范项目需求管理，制定本制度。</w:t>
      </w:r>
    </w:p>
    <w:p>
      <w:pPr>
        <w:pStyle w:val="Heading2"/>
      </w:pPr>
      <w:r>
        <w:t>【第二章 需求确认】</w:t>
      </w:r>
    </w:p>
    <w:p>
      <w:pPr>
        <w:ind w:firstLine="480"/>
      </w:pPr>
      <w:r>
        <w:t>所有需求须经业务部门签字确认后方可实施。</w:t>
      </w:r>
    </w:p>
    <w:p>
      <w:pPr>
        <w:pStyle w:val="Heading2"/>
      </w:pPr>
      <w:r>
        <w:t>【第三章 变更管理】</w:t>
      </w:r>
    </w:p>
    <w:p>
      <w:pPr>
        <w:ind w:firstLine="480"/>
      </w:pPr>
      <w:r>
        <w:t>需求变更须经指导委员会审批，重大变更须报董事会。</w:t>
      </w:r>
    </w:p>
    <w:p>
      <w:pPr>
        <w:pStyle w:val="Heading2"/>
      </w:pPr>
      <w:r>
        <w:t>【存在问题】</w:t>
      </w:r>
    </w:p>
    <w:p>
      <w:pPr>
        <w:ind w:firstLine="480"/>
      </w:pPr>
      <w:r>
        <w:t>制度未明确范围蔓延的控制措施。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