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pStyle w:val="Heading1"/>
        <w:spacing w:before="240" w:after="120"/>
        <w:jc w:val="left"/>
      </w:pPr>
      <w:r>
        <w:rPr>
          <w:rFonts w:ascii="黑体" w:hAnsi="黑体" w:eastAsia="黑体"/>
          <w:b/>
          <w:sz w:val="28"/>
        </w:rPr>
        <w:t>供应链采购竞价与供应商评级</w:t>
      </w:r>
    </w:p>
    <w:p>
      <w:pPr>
        <w:pStyle w:val="Heading2"/>
        <w:spacing w:before="240" w:after="120"/>
        <w:jc w:val="left"/>
      </w:pPr>
      <w:r>
        <w:rPr>
          <w:rFonts w:ascii="黑体" w:hAnsi="黑体" w:eastAsia="黑体"/>
          <w:b/>
          <w:sz w:val="24"/>
        </w:rPr>
        <w:t>一、编号</w:t>
      </w:r>
    </w:p>
    <w:p>
      <w:pPr>
        <w:spacing w:lineRule="exact" w:line="400" w:after="60"/>
        <w:jc w:val="both"/>
      </w:pPr>
      <w:r>
        <w:rPr>
          <w:rFonts w:ascii="宋体" w:hAnsi="宋体" w:eastAsia="宋体"/>
          <w:b w:val="0"/>
          <w:sz w:val="21"/>
        </w:rPr>
        <w:t>G6-ZX-007（v1）。</w:t>
      </w:r>
    </w:p>
    <w:p>
      <w:pPr>
        <w:spacing w:lineRule="exact" w:line="400" w:after="60"/>
        <w:jc w:val="both"/>
      </w:pPr>
      <w:r>
        <w:rPr>
          <w:rFonts w:ascii="宋体" w:hAnsi="宋体" w:eastAsia="宋体"/>
          <w:b w:val="0"/>
          <w:sz w:val="21"/>
        </w:rPr>
        <w:t>【职业定位】二级行业：餐饮连锁供应链管理 / 采购与供应管理；L1职业簇：供应链管理、财务与审计、运营管理；L2职业：采购经理、供应链分析师、成本会计师、质量审计专员、运营分析专员。</w:t>
      </w:r>
    </w:p>
    <w:p>
      <w:pPr>
        <w:pStyle w:val="Heading2"/>
        <w:spacing w:before="240" w:after="120"/>
        <w:jc w:val="left"/>
      </w:pPr>
      <w:r>
        <w:rPr>
          <w:rFonts w:ascii="黑体" w:hAnsi="黑体" w:eastAsia="黑体"/>
          <w:b/>
          <w:sz w:val="24"/>
        </w:rPr>
        <w:t>二、任务背景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麦淳餐饮管理有限公司旗下烘焙、饮品、轻食三类门店对高筋面粉、动物黄油、牛油果、抹茶粉、红豆、芋头、鸡胸肉、鲜牛奶等8种核心原料年采购额超过300万元。2026年初，公司计划对8种原料进行新一轮年度招标，收到3家新供应商投标；同时需要对现有6家供应商进行年度ABC分级，确定下一年份额分配与淘汰名单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本次采购决策存在三个现实张力：一是采购部倾向于选择报价最低的金谷粮油以降低食材成本；二是财务部与质量部担心低价供应商的质检合格率、交货及时率不足会带来食安与断供风险；三是运营部希望保留账期长、质检高的高端供应商作为牛奶、黄油等高质原料的备选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数据截止日为2026年2月28日，分析基准日为2026年3月10日。所有结论须同时计算综合评分与TCO总成本，并给出推荐中标方案，不得只给汇总数。</w:t>
      </w:r>
    </w:p>
    <w:p>
      <w:pPr>
        <w:pStyle w:val="Heading2"/>
        <w:spacing w:before="240" w:after="120"/>
        <w:jc w:val="left"/>
      </w:pPr>
      <w:r>
        <w:rPr>
          <w:rFonts w:ascii="黑体" w:hAnsi="黑体" w:eastAsia="黑体"/>
          <w:b/>
          <w:sz w:val="24"/>
        </w:rPr>
        <w:t>三、任务分解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本项委托按八轮执行，每轮只完成一个任务，并只提交当轮对应交付包。上一轮自检通过后，方可进入下一轮；未完成或自检不通过，不得进入下一轮，也不得提前输出后续轮次结果。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第1轮为综合评分。对3家新供应商在8种原料上的投标按单价60%、账期15%、交货及时率15%、质检合格率5%、MOQ灵活性5%进行阶梯式加权评分，输出每类原料的综合评分与排名。本轮只输出01综合评分表.rar。本轮自检要求24条投标记录均有综合评分，权重合计100%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第2轮为TCO总成本。按采购金额、资金占用成本、仓储成本、质检损失、断货风险成本计算每类原料每个供应商的TCO。本轮只输出02TCO总成本.rar。本轮自检要求TCO口径与财务确认规则一致。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第3轮为中标结果。输出综合评分最高者与TCO最低者对比。本轮只输出03中标结果.rar。本轮自检要求8种原料均有推荐中标供应商。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第4轮为推荐中标方案。结合综合评分与TCO差异，给出8种原料的推荐中标供应商及理由。本轮只输出04推荐中标方案.rar。本轮自检要求推荐理由具体、可追溯。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第5轮为现有供应商ABC分级与份额。按年度采购额对6家现有供应商排序，按累计占比0-70%、70-90%、90-100%划分A/B/C级，并按A级60%、B级30%、C级10%分配下一年份额。本轮只输出05现有供应商ABC分级与份额.rar。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第6轮为风险与退出机制。列出10项风险、量化触发阈值、应对措施和退出动作；列出6类退出机制及回收处理。本轮只输出06风险与退出机制.rar。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第7轮为错误要求驳回。逐条驳回管理层12项错误要求并说明理由。本轮只输出07错误要求驳回.rar。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第8轮为勾稽与结论。完成勾稽自检并给出核心结论。本轮只输出08勾稽与结论.rar。本轮自检要求所有勾稽结论为一致，不一致项为0。</w:t>
      </w:r>
    </w:p>
    <w:p>
      <w:pPr>
        <w:pStyle w:val="Heading2"/>
        <w:spacing w:before="240" w:after="120"/>
        <w:jc w:val="left"/>
      </w:pPr>
      <w:r>
        <w:rPr>
          <w:rFonts w:ascii="黑体" w:hAnsi="黑体" w:eastAsia="黑体"/>
          <w:b/>
          <w:sz w:val="24"/>
        </w:rPr>
        <w:t>四、输入附件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输入附件共8包。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01原料年度需求.rar，包含原料年度需求。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02新供应商投标.rar，包含新供应商投标。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03现有供应商年度数据.rar，包含现有供应商年度数据。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04评分权重.rar，包含评分权重。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05TCO参数.rar，包含TCO参数。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06ABC分级与份额规则.rar，包含ABC分级标准、份额分配规则。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07财务确认规则.rar，包含财务确认规则。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08管理层要求.rar，包含管理层要求。</w:t>
      </w:r>
    </w:p>
    <w:p>
      <w:pPr>
        <w:pStyle w:val="Heading2"/>
        <w:spacing w:before="240" w:after="120"/>
        <w:jc w:val="left"/>
      </w:pPr>
      <w:r>
        <w:rPr>
          <w:rFonts w:ascii="黑体" w:hAnsi="黑体" w:eastAsia="黑体"/>
          <w:b/>
          <w:sz w:val="24"/>
        </w:rPr>
        <w:t>五、制度与判断规则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新供应商准入评分采用五维度加权：单价60%、账期15%、交货及时率15%、质检合格率5%、MOQ灵活性5%，满分100分。单价得分按最低报价除以当前报价折算百分制；账期采用阶梯得分，≥60天100分、≥45天80分、≥30天60分、&lt;30天40分；交货及时率采用阶梯得分，≥98%得100分、≥95%得85分、≥93%得75分、≥90%得65分、&lt;90%得50分；质检合格率采用阶梯得分，≥99%得100分、≥98.5%得90分、≥98%得85分、≥97%得75分、&lt;97%得60分；MOQ灵活性按同原料组内最大最小MOQ归一化得分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TCO总成本=采购金额+资金占用成本+仓储成本+质检损失+断货风险成本。采购金额=报价×年度需求量；资金占用成本=采购金额×账期÷365×8%；仓储成本=报价×安全库存量×3%，其中安全库存量=年度需求量÷365×安全库存天数；质检损失=采购金额×(1-质检合格率)×50%；断货风险成本=采购金额×(1-交货及时率)×10%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推荐中标方案以综合评分最高为原则，同时列示TCO最低者作为对比；若推荐中标供应商与TCO最低供应商不一致，须量化说明TCO差异及质量、账期、供应稳定性方面的权衡理由。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现有供应商ABC分级按年度采购额从大到小排序，累计占比0-70%为A级、70-90%为B级、90-100%为C级。A级供应商下一年份额60%，B级30%，C级10%。连续2年C级或质检合格率&lt;90%或交货及时率&lt;80%的供应商应退出或整改。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续约谈判须提前3个月启动；关键原料须保留至少2家合格供应商，单一供应商占比不得超过70%。</w:t>
      </w:r>
    </w:p>
    <w:p>
      <w:pPr>
        <w:pStyle w:val="Heading2"/>
        <w:spacing w:before="240" w:after="120"/>
        <w:jc w:val="left"/>
      </w:pPr>
      <w:r>
        <w:rPr>
          <w:rFonts w:ascii="黑体" w:hAnsi="黑体" w:eastAsia="黑体"/>
          <w:b/>
          <w:sz w:val="24"/>
        </w:rPr>
        <w:t>六、交付物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01 综合评分表.rar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02 TCO总成本.rar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03 中标结果.rar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04 推荐中标方案.rar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05 现有供应商ABC分级与份额.rar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06 风险与退出机制.rar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07 错误要求驳回.rar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08 勾稽与结论.rar</w:t>
      </w:r>
    </w:p>
    <w:p>
      <w:pPr>
        <w:pStyle w:val="Heading2"/>
        <w:spacing w:before="240" w:after="120"/>
        <w:jc w:val="left"/>
      </w:pPr>
      <w:r>
        <w:rPr>
          <w:rFonts w:ascii="黑体" w:hAnsi="黑体" w:eastAsia="黑体"/>
          <w:b/>
          <w:sz w:val="24"/>
        </w:rPr>
        <w:t>七、约束条件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1. 仅使用附件材料，不得引入外部数据，不得联网检索。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2. 金额以元列示并保留两位小数，比例保留两位小数，不得混用单位。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3. 逐原料、逐供应商给出评分与TCO，不得抽样或估算；每条记录必须有明确结果，不得留空。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4. 3家新供应商编号唯一，6家现有供应商编号唯一，8种原料编号唯一，不得重复或遗漏。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5. 评分权重合计必须等于100%，五维度缺一不可。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6. 单价、账期、交货、质检、MOQ须采用阶梯式评分规则，不得改为线性连续评分。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7. TCO必须包含采购金额、资金占用、仓储、质检损失、断货风险五项，缺一不可。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8. 安全库存量=年度需求量÷365×安全库存天数，不得直接采用MOQ或其他口径。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9. 推荐中标方案必须同时列示综合评分最高者和TCO最低者，并给出明确理由。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10. ABC分级须按年度采购额累计占比划分，不得按主观印象。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11. 份额分配按A级60%、B级30%、C级10%执行，不得随意调整。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12. 关键原料单一供应商占比不得超过70%，须保留备选。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13. 续约谈判须提前3个月启动，不得到期后处理。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14. 退出机制须有回收与损失处理方案，不得只给方向性意见。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15. 质检扣款比例50%、断货损失比例10%为合同约定，不得调整。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16. 资金成本率8%、仓储费率3%为年化口径，须按实际占用天数折算。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17. 必须列出10项风险和6类退出机制，每项风险须有量化触发阈值。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18. 勾稽全部闭合后方可出具核心结论；任一项不闭合视为未完成。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19. 必须按八轮顺序逐轮交付，每轮只完成一个任务，不得一次性输出全部结果。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20. 每轮结束必须提交本轮自检记录，列明检查项、结果、证据和未通过原因；上一轮未通过不得进入下一轮。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21. 每轮只提交当轮对应交付包，不得跨轮合并或提前输出；任何一轮无法完成时必须停止并说明缺口；八轮全部通过方视为完成。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22. 管理层12项错误要求须逐条驳回并说明理由，不得采纳。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23. 现有供应商分级与份额分配建议必须有明确触发条件和时间节点，不得只给方向性意见。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24. 综合评分、TCO、分级结果须逐条计算并汇总，不得只给总数。</w:t>
      </w:r>
    </w:p>
    <w:p>
      <w:pPr>
        <w:pStyle w:val="Heading2"/>
        <w:spacing w:before="240" w:after="120"/>
        <w:jc w:val="left"/>
      </w:pPr>
      <w:r>
        <w:rPr>
          <w:rFonts w:ascii="黑体" w:hAnsi="黑体" w:eastAsia="黑体"/>
          <w:b/>
          <w:sz w:val="24"/>
        </w:rPr>
        <w:t>八、完成标准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八轮任务逐轮完成且逐轮自检通过。8种原料推荐中标方案为：高筋面粉-S1绿源食品、动物黄油-S1绿源食品、牛油果-S2金谷粮油、抹茶粉-S1绿源食品、红豆-S2金谷粮油、芋头-S2金谷粮油、鸡胸肉-S2金谷粮油、鲜牛奶-S3优品农贸；6家现有供应商A级2家、B级2家、C级2家；推荐方案年度采购额约4026300.0元、TCO合计约4118844.25元；20项勾稽全部一致、不一致项为0。任一轮未完成或自检不通过，不得进入下一轮，整体不得视为完成。</w:t>
      </w:r>
    </w:p>
    <w:p>
      <w:pPr>
        <w:pStyle w:val="Heading2"/>
        <w:spacing w:before="240" w:after="120"/>
        <w:jc w:val="left"/>
      </w:pPr>
      <w:r>
        <w:rPr>
          <w:rFonts w:ascii="黑体" w:hAnsi="黑体" w:eastAsia="黑体"/>
          <w:b/>
          <w:sz w:val="24"/>
        </w:rPr>
        <w:t>九、考点</w:t>
      </w:r>
    </w:p>
    <w:p>
      <w:pPr>
        <w:spacing w:lineRule="exact" w:line="400" w:after="60"/>
        <w:jc w:val="both"/>
      </w:pPr>
      <w:r>
        <w:rPr>
          <w:rFonts w:ascii="宋体" w:hAnsi="宋体" w:eastAsia="宋体"/>
          <w:b w:val="0"/>
          <w:sz w:val="21"/>
        </w:rPr>
        <w:t>以下考点按评分模型、TCO测算、中标决策、供应商分级、风险退出、错误驳回、勾稽结论七组展开，共50项，用于逐条评定答题底稿的完整性与正确性。</w:t>
      </w:r>
    </w:p>
    <w:p>
      <w:pPr>
        <w:spacing w:lineRule="exact" w:line="400" w:after="60"/>
        <w:jc w:val="both"/>
      </w:pPr>
      <w:r>
        <w:rPr>
          <w:rFonts w:ascii="宋体" w:hAnsi="宋体" w:eastAsia="宋体"/>
          <w:b/>
          <w:sz w:val="21"/>
        </w:rPr>
        <w:t>（一）评分模型（考点1—10）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考点1：底稿中应当列示8种核心原料的年度需求量、单位、安全库存天数。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考点2：底稿中应当列示3家新供应商对8种原料的24条投标记录。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考点3：底稿中应当列明五维度评分权重为单价60%、账期15%、交货及时率15%、质检合格率5%、MOQ灵活性5%。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考点4：底稿中应当按阶梯规则计算账期得分。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考点5：底稿中应当按阶梯规则计算交货及时率得分。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考点6：底稿中应当按阶梯规则计算质检合格率得分。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考点7：底稿中应当按最低报价折算单价得分。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考点8：底稿中应当按组内最大最小MOQ计算MOQ灵活性得分。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考点9：底稿中应当对24条投标记录给出综合评分并排序。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考点10：底稿中应当明确每类原料综合评分最高者。</w:t>
      </w:r>
    </w:p>
    <w:p>
      <w:pPr>
        <w:spacing w:lineRule="exact" w:line="400" w:after="60"/>
        <w:jc w:val="both"/>
      </w:pPr>
      <w:r>
        <w:rPr>
          <w:rFonts w:ascii="宋体" w:hAnsi="宋体" w:eastAsia="宋体"/>
          <w:b/>
          <w:sz w:val="21"/>
        </w:rPr>
        <w:t>（二）TCO测算（考点11—18）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考点11：底稿中应当按采购金额=报价×年度需求量计算。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考点12：底稿中应当按资金占用成本=采购金额×账期÷365×8%计算。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考点13：底稿中应当按安全库存量=年度需求量÷365×安全库存天数计算。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考点14：底稿中应当按仓储成本=报价×安全库存量×3%计算。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考点15：底稿中应当按质检损失=采购金额×(1-质检合格率)×50%计算。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考点16：底稿中应当按断货风险成本=采购金额×(1-交货及时率)×10%计算。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考点17：底稿中应当汇总TCO总成本并排序。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考点18：底稿中应当列示每类原料TCO最低者。</w:t>
      </w:r>
    </w:p>
    <w:p>
      <w:pPr>
        <w:spacing w:lineRule="exact" w:line="400" w:after="60"/>
        <w:jc w:val="both"/>
      </w:pPr>
      <w:r>
        <w:rPr>
          <w:rFonts w:ascii="宋体" w:hAnsi="宋体" w:eastAsia="宋体"/>
          <w:b/>
          <w:sz w:val="21"/>
        </w:rPr>
        <w:t>（三）中标决策（考点19—25）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考点19：底稿中应当给出8种原料的推荐中标供应商。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考点20：底稿中应当同时列示推荐中标供应商和TCO最低供应商。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考点21：底稿中应当对推荐中标与TCO最低不一致的原料量化TCO差异。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考点22：底稿中应当说明推荐中标方案中质量、账期、供应稳定性的权衡理由。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考点23：底稿中应当计算推荐方案年度采购额。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考点24：底稿中应当计算推荐方案TCO合计。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考点25：底稿中应当避免单一供应商包揽全部8种原料。</w:t>
      </w:r>
    </w:p>
    <w:p>
      <w:pPr>
        <w:spacing w:lineRule="exact" w:line="400" w:after="60"/>
        <w:jc w:val="both"/>
      </w:pPr>
      <w:r>
        <w:rPr>
          <w:rFonts w:ascii="宋体" w:hAnsi="宋体" w:eastAsia="宋体"/>
          <w:b/>
          <w:sz w:val="21"/>
        </w:rPr>
        <w:t>（四）供应商分级（考点26—33）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考点26：底稿中应当列示6家现有供应商年度采购额。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考点27：底稿中应当按采购额从大到小排序。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考点28：底稿中应当按累计占比0-70%划分A级。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考点29：底稿中应当按累计占比70-90%划分B级。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考点30：底稿中应当按累计占比90-100%划分C级。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考点31：底稿中应当给出A/B/C各级供应商数量。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考点32：底稿中应当按A级60%、B级30%、C级10%分配下一年份额。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考点33：底稿中应当对各级供应商给出续约、监控或退出建议。</w:t>
      </w:r>
    </w:p>
    <w:p>
      <w:pPr>
        <w:spacing w:lineRule="exact" w:line="400" w:after="60"/>
        <w:jc w:val="both"/>
      </w:pPr>
      <w:r>
        <w:rPr>
          <w:rFonts w:ascii="宋体" w:hAnsi="宋体" w:eastAsia="宋体"/>
          <w:b/>
          <w:sz w:val="21"/>
        </w:rPr>
        <w:t>（五）风险与退出（考点34—40）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考点34：底稿中应当列示10项风险。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考点35：底稿中应当对每项风险给出量化触发阈值。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考点36：底稿中应当对每项风险给出应对措施。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考点37：底稿中应当列示6类退出机制。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考点38：底稿中应当对每类退出机制给出触发条件。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考点39：底稿中应当对每类退出机制给出回收与损失处理方案。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考点40：底稿中应当明确关键原料单一供应商占比不超过70%。</w:t>
      </w:r>
    </w:p>
    <w:p>
      <w:pPr>
        <w:spacing w:lineRule="exact" w:line="400" w:after="60"/>
        <w:jc w:val="both"/>
      </w:pPr>
      <w:r>
        <w:rPr>
          <w:rFonts w:ascii="宋体" w:hAnsi="宋体" w:eastAsia="宋体"/>
          <w:b/>
          <w:sz w:val="21"/>
        </w:rPr>
        <w:t>（六）错误要求驳回（考点41—44）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考点41：底稿中应当逐条识别管理层12项错误要求。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考点42：底稿中应当识别只看最低价、忽略账期、忽略交货、忽略质检、忽略MOQ、只选一家、主观分级、直接砍C级、盲目加库存、不合格不扣款、只算报价不算TCO、一年只评一次等错误要求。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考点43：底稿中应当对每项错误要求给出不予采纳结论。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考点44：底稿中应当对每项错误要求说明正确做法。</w:t>
      </w:r>
    </w:p>
    <w:p>
      <w:pPr>
        <w:spacing w:lineRule="exact" w:line="400" w:after="60"/>
        <w:jc w:val="both"/>
      </w:pPr>
      <w:r>
        <w:rPr>
          <w:rFonts w:ascii="宋体" w:hAnsi="宋体" w:eastAsia="宋体"/>
          <w:b/>
          <w:sz w:val="21"/>
        </w:rPr>
        <w:t>（七）勾稽与结论（考点45—50）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考点45：底稿中应当完成20项以上勾稽，覆盖原料数、供应商数、投标记录数、维度、权重、中标数、分级、份额、TCO参数。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考点46：底稿中勾稽结论应当全部为一致。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考点47：底稿中应当列示勾稽不一致项数量为0。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考点48：底稿中应当给出核心结论，包含8种原料推荐中标方案和6家供应商分级。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考点49：底稿中核心结论须由四条支撑组成。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考点50：底稿中应当列出关键结果，包括推荐方案年度采购额、TCO合计、分级分布、勾稽状态。</w:t>
      </w:r>
    </w:p>
    <w:p>
      <w:pPr>
        <w:pStyle w:val="Heading2"/>
        <w:spacing w:before="240" w:after="120"/>
        <w:jc w:val="left"/>
      </w:pPr>
      <w:r>
        <w:rPr>
          <w:rFonts w:ascii="黑体" w:hAnsi="黑体" w:eastAsia="黑体"/>
          <w:b/>
          <w:sz w:val="24"/>
        </w:rPr>
        <w:t>十、答题思路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第一步是读取原料年度需求、新供应商投标、现有供应商年度数据、评分权重、TCO参数、ABC分级标准、份额分配规则、财务确认规则。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第二步是按五维度阶梯评分规则计算24条投标记录的综合评分，并对每类原料排序。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第三步是按五项成本公式计算每类原料每个供应商的TCO总成本，并找出TCO最低者。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第四步是结合综合评分与TCO差异，给出8种原料的推荐中标方案及理由。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第五步是按年度采购额对6家现有供应商排序并划分A/B/C级，按60%/30%/10%分配份额。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第六步是列出10项风险、6类退出机制，量化触发阈值与回收处理。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第七步是逐条驳回12项管理层错误要求，说明正确做法。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第八步是完成勾稽自检并给出核心结论。</w:t>
      </w:r>
    </w:p>
    <w:p>
      <w:pPr>
        <w:pStyle w:val="Heading2"/>
        <w:spacing w:before="240" w:after="120"/>
        <w:jc w:val="left"/>
      </w:pPr>
      <w:r>
        <w:rPr>
          <w:rFonts w:ascii="黑体" w:hAnsi="黑体" w:eastAsia="黑体"/>
          <w:b/>
          <w:sz w:val="24"/>
        </w:rPr>
        <w:t>十一、标准答案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标准答案共8个包，首表为供应链采购竞价结论，逐包覆盖综合评分、TCO总成本、中标结果、推荐中标方案、现有供应商分级与份额、风险退出、错误驳回和勾稽自检。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/>
          <w:sz w:val="21"/>
        </w:rPr>
        <w:t>核心结论：8种核心原料招标中，按单价60%、账期15%、交货及时率15%、质检合格率5%、MOQ灵活性5%加权评分，推荐中标供应商为：高筋面粉由绿源食品中标、动物黄油由绿源食品中标、牛油果由金谷粮油中标、抹茶粉由绿源食品中标、红豆由金谷粮油中标、芋头由金谷粮油中标、鸡胸肉由金谷粮油中标、鲜牛奶由优品农贸中标；新招标年度采购额4026300.0元、推荐方案TCO合计4118844.25元；6家现有供应商ABC分级：江南烘焙原料(A级)、健身肉品(A级)、华东粮贸(B级)、绿鲜果蔬(B级)、 Dairy佳乳(C级)、小宗配料商(C级)，按A级60%、B级30%、C级10%分配下一年份额。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支撑一：8种原料按五维度阶梯评分，单价权重60%；推荐中标方案中综合实力型、低价型、高端型供应商均有分布，未出现单一供应商包揽。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支撑二：TCO总成本包含采购金额、资金占用成本（按账期x8%）、仓储成本（安全库存x3%）、质检损失（不合格x50%）、断货风险成本（延迟x10%）；推荐方案TCO合计4118844.25元，虽高于纯TCO最低方案，但质量与供应稳定性更优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支撑三：现有供应商按年度采购额排序分级：A级累计0-70%、B级70-90%、C级90-100%；2家A级、2家B级、2家C级，下一年份额按60%/30%/10%分配。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支撑四：列出10项风险与6类退出机制，对断供、涨价、质检、延迟、资金链、MOQ、账期、地域依赖、数据造假、合同到期风险均设定量化阈值和退出动作。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/>
          <w:sz w:val="21"/>
        </w:rPr>
        <w:t>关键结果：8种原料推荐中标方案为高筋面粉-S1绿源食品、动物黄油-S1绿源食品、牛油果-S2金谷粮油、抹茶粉-S1绿源食品、红豆-S2金谷粮油、芋头-S2金谷粮油、鸡胸肉-S2金谷粮油、鲜牛奶-S3优品农贸；6家现有供应商A级2家、B级2家、C级2家；所有勾稽结论一致，不一致项为0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Company>麦淳餐饮管理有限公司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供应链采购竞价_v1</dc:title>
  <dc:subject>高经济价值第六期</dc:subject>
  <dc:creator>运营分析部</dc:creator>
  <cp:lastModifiedBy>运营分析部</cp:lastModifiedBy>
  <cp:revision>1</cp:revision>
  <dcterms:created xsi:type="dcterms:W3CDTF">2026-02-10T10:00:00Z</dcterms:created>
  <dcterms:modified xsi:type="dcterms:W3CDTF">2026-02-10T10:00:00Z</dcterms:modified>
</cp:coreProperties>
</file>