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智能制造数字化升级项目合规诊断报告</w:t>
      </w:r>
    </w:p>
    <w:p>
      <w:pPr>
        <w:pStyle w:val="Heading2"/>
      </w:pPr>
      <w:r>
        <w:t>【一、项目概况】</w:t>
      </w:r>
    </w:p>
    <w:p>
      <w:pPr>
        <w:ind w:firstLine="480"/>
      </w:pPr>
      <w:r>
        <w:t>智能制造数字化升级项目由某智能制造有限公司于2023年1月启动，总预算3000万元，计划周期18个月。截至2024年9月，项目实际支出3800万元，超预算800万元，完成度仅40%，项目已停滞烂尾。</w:t>
      </w:r>
    </w:p>
    <w:p>
      <w:pPr>
        <w:pStyle w:val="Heading2"/>
      </w:pPr>
      <w:r>
        <w:t>【二、诊断结论】</w:t>
      </w:r>
    </w:p>
    <w:p>
      <w:pPr>
        <w:ind w:firstLine="480"/>
      </w:pPr>
      <w:r>
        <w:t>1. 项目超期3个月仍停滞，完成度40%，项目管理失控。</w:t>
      </w:r>
    </w:p>
    <w:p>
      <w:pPr>
        <w:ind w:firstLine="480"/>
      </w:pPr>
      <w:r>
        <w:t>2. 预算超支800万元，超支率26.7%，预算管控失效。</w:t>
      </w:r>
    </w:p>
    <w:p>
      <w:pPr>
        <w:ind w:firstLine="480"/>
      </w:pPr>
      <w:r>
        <w:t>3. 8项预算中5项超预算，须说明超支原因并追责。</w:t>
      </w:r>
    </w:p>
    <w:p>
      <w:pPr>
        <w:ind w:firstLine="480"/>
      </w:pPr>
      <w:r>
        <w:t>4. 资金使用台账50笔，10笔无审批支付、5笔资金挪用，违反财务管理制度。</w:t>
      </w:r>
    </w:p>
    <w:p>
      <w:pPr>
        <w:ind w:firstLine="480"/>
      </w:pPr>
      <w:r>
        <w:t>5. 15家供应商中5家资质不全，供应商管理失效。</w:t>
      </w:r>
    </w:p>
    <w:p>
      <w:pPr>
        <w:ind w:firstLine="480"/>
      </w:pPr>
      <w:r>
        <w:t>6. 20份合同中8份未招标、4份条款缺失、3份重复付款，合同管理违规。</w:t>
      </w:r>
    </w:p>
    <w:p>
      <w:pPr>
        <w:ind w:firstLine="480"/>
      </w:pPr>
      <w:r>
        <w:t>7. 60项需求中12项未确认、10项遗漏、8项范围蔓延，需求管理失控。</w:t>
      </w:r>
    </w:p>
    <w:p>
      <w:pPr>
        <w:ind w:firstLine="480"/>
      </w:pPr>
      <w:r>
        <w:t>8. 25项变更中8项未审批、5项过度变更，变更管理违规。</w:t>
      </w:r>
    </w:p>
    <w:p>
      <w:pPr>
        <w:ind w:firstLine="480"/>
      </w:pPr>
      <w:r>
        <w:t>9. 40项交付物中10项未达标、8项未交付、5项虚假验收，交付管理失效。</w:t>
      </w:r>
    </w:p>
    <w:p>
      <w:pPr>
        <w:ind w:firstLine="480"/>
      </w:pPr>
      <w:r>
        <w:t>10. 30项验收中8项未通过、6项虚假验收，验收管理违规。</w:t>
      </w:r>
    </w:p>
    <w:p>
      <w:pPr>
        <w:ind w:firstLine="480"/>
      </w:pPr>
      <w:r>
        <w:t>11. 10项里程碑仅3项按时完成，进度管理失控。</w:t>
      </w:r>
    </w:p>
    <w:p>
      <w:pPr>
        <w:ind w:firstLine="480"/>
      </w:pPr>
      <w:r>
        <w:t>12. 5份管理制度均存在缺陷，制度建设不完善。</w:t>
      </w:r>
    </w:p>
    <w:p>
      <w:pPr>
        <w:ind w:firstLine="480"/>
      </w:pPr>
      <w:r>
        <w:t>13. 管理层10项错误要求全部须依法驳回。</w:t>
      </w:r>
    </w:p>
    <w:p>
      <w:pPr>
        <w:ind w:firstLine="480"/>
      </w:pPr>
      <w:r>
        <w:t>14. 项目烂尾须报告董事会。</w:t>
      </w:r>
    </w:p>
    <w:p>
      <w:pPr>
        <w:ind w:firstLine="480"/>
      </w:pPr>
      <w:r>
        <w:t>15. 业务重构须考虑现有可复用资产。</w:t>
      </w:r>
    </w:p>
    <w:p>
      <w:pPr>
        <w:pStyle w:val="Heading2"/>
      </w:pPr>
      <w:r>
        <w:t>【三、违规统计】</w:t>
      </w:r>
    </w:p>
    <w:p>
      <w:pPr>
        <w:ind w:firstLine="480"/>
      </w:pPr>
      <w:r>
        <w:t>本次审查共发现8大类违规问题：预算超支5项、资金违规15项、供应商资质5项、合同违规15项、需求违规30项、变更违规13项、交付违规23项、验收违规14项，合计120项违规。</w:t>
      </w:r>
    </w:p>
    <w:p>
      <w:pPr>
        <w:pStyle w:val="Heading2"/>
      </w:pPr>
      <w:r>
        <w:t>【四、综合结论】</w:t>
      </w:r>
    </w:p>
    <w:p>
      <w:pPr>
        <w:ind w:firstLine="480"/>
      </w:pPr>
      <w:r>
        <w:t>项目因预算管控失效、资金管理违规、采购招标不合规、需求蔓延、交付验收造假等多重原因导致烂尾。建议立即启动止损程序，追回违规资金，追究相关责任，编制业务重构方案。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