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Title"/>
      </w:pPr>
      <w:r>
        <w:t>销售佣金与渠道返利的历史清算及2026年新激励方案设计</w:t>
      </w:r>
    </w:p>
    <w:p>
      <w:pPr>
        <w:spacing w:before="200" w:after="120"/>
      </w:pPr>
      <w:r>
        <w:rPr>
          <w:b/>
          <w:sz w:val="28"/>
        </w:rPr>
        <w:t>一、编号</w:t>
      </w:r>
    </w:p>
    <w:p>
      <w:pPr>
        <w:spacing w:after="80" w:line="324" w:lineRule="auto"/>
      </w:pPr>
      <w:r>
        <w:rPr>
          <w:b w:val="0"/>
        </w:rPr>
        <w:t>G6-ZX-002（v1）。</w:t>
      </w:r>
    </w:p>
    <w:p>
      <w:pPr>
        <w:spacing w:before="200" w:after="120"/>
      </w:pPr>
      <w:r>
        <w:rPr>
          <w:b/>
          <w:sz w:val="28"/>
        </w:rPr>
        <w:t>二、任务背景</w:t>
      </w:r>
    </w:p>
    <w:p>
      <w:pPr>
        <w:spacing w:after="80" w:line="324" w:lineRule="auto"/>
        <w:ind w:firstLine="420"/>
      </w:pPr>
      <w:r>
        <w:rPr>
          <w:b w:val="0"/>
        </w:rPr>
        <w:t>睿联工业设备有限公司是一家工业泵阀制造企业，销售采用直销与渠道并行模式。2025年7月，公司发现历史佣金发放与渠道返利长期依赖手工台账，销售人员对金额争议集中爆发。现受董事会审计委员会委托，以外部薪酬与销售运营顾问身份，对2022年1月1日至2025年8月31日的销售佣金和渠道返利进行全量清算，并设计2026年激励方案。</w:t>
      </w:r>
    </w:p>
    <w:p>
      <w:pPr>
        <w:spacing w:after="80" w:line="324" w:lineRule="auto"/>
        <w:ind w:firstLine="420"/>
      </w:pPr>
      <w:r>
        <w:rPr>
          <w:b w:val="0"/>
        </w:rPr>
        <w:t>数据截止日为2025年8月31日，清算基准日为2025年9月1日。所有结论须可回溯到附件逐条记录，不得只给汇总数。凡涉及剔除、挂账、追回、留存、不结的记录，必须逐条说明触发条件与条款依据。</w:t>
      </w:r>
    </w:p>
    <w:p>
      <w:pPr>
        <w:spacing w:before="200" w:after="120"/>
      </w:pPr>
      <w:r>
        <w:rPr>
          <w:b/>
          <w:sz w:val="28"/>
        </w:rPr>
        <w:t>三、任务分解</w:t>
      </w:r>
    </w:p>
    <w:p>
      <w:pPr>
        <w:spacing w:after="80" w:line="324" w:lineRule="auto"/>
        <w:ind w:firstLine="420"/>
      </w:pPr>
      <w:r>
        <w:rPr>
          <w:b w:val="0"/>
        </w:rPr>
        <w:t>本项委托按八轮执行，每轮只完成一个任务，并只提交当轮对应交付包。上一轮自检通过后，方可进入下一轮；未完成或自检不通过，不得进入下一轮，也不得提前输出后续轮次结果。</w:t>
      </w:r>
    </w:p>
    <w:p>
      <w:pPr>
        <w:spacing w:after="80" w:line="324" w:lineRule="auto"/>
        <w:ind w:firstLine="420"/>
      </w:pPr>
      <w:r>
        <w:rPr>
          <w:b w:val="0"/>
        </w:rPr>
        <w:t>第1轮为订单佣金清算。完成订单去重、政策版本归属、含税与不含税换算，按V1、V2、V3逐单计提，处理退货、坏账、离职、封顶和合作单拆分。本轮只输出01订单佣金清算.rar。本轮自检要求全部720个有效订单均有清算结论，V1、V2、V3订单数分别为168、197、355单，12条重复导入行已逐条留痕。</w:t>
      </w:r>
    </w:p>
    <w:p>
      <w:pPr>
        <w:spacing w:after="80" w:line="324" w:lineRule="auto"/>
        <w:ind w:firstLine="420"/>
      </w:pPr>
      <w:r>
        <w:rPr>
          <w:b w:val="0"/>
        </w:rPr>
        <w:t>第2轮为人员汇总与异常核查。逐人汇总V1、V2、V3应发，叠加新人保底，并与已发台账比对，识别异常预发。本轮只输出02人员汇总与异常核查.rar。本轮自检要求120名销售均有应发、已发和差额，13条异常预发记录均单列。</w:t>
      </w:r>
    </w:p>
    <w:p>
      <w:pPr>
        <w:spacing w:after="80" w:line="324" w:lineRule="auto"/>
        <w:ind w:firstLine="420"/>
      </w:pPr>
      <w:r>
        <w:rPr>
          <w:b w:val="0"/>
        </w:rPr>
        <w:t>第3轮为争议裁决。对60件佣金争议逐单裁决，并写明依据条款。本轮只输出03争议裁决.rar。本轮自检要求60件争议均有裁决，支持、部分支持和不支持三类数量闭合。</w:t>
      </w:r>
    </w:p>
    <w:p>
      <w:pPr>
        <w:spacing w:after="80" w:line="324" w:lineRule="auto"/>
        <w:ind w:firstLine="420"/>
      </w:pPr>
      <w:r>
        <w:rPr>
          <w:b w:val="0"/>
        </w:rPr>
        <w:t>第4轮为渠道返利清算。按渠道和年度套用阶梯并与保底孰高，扣除已付金额，标注2025年度未到结算期。本轮只输出04渠道返利台账.rar。本轮自检要求40家渠道乘4个年度共160行齐全，2025年度不计入本期应付。</w:t>
      </w:r>
    </w:p>
    <w:p>
      <w:pPr>
        <w:spacing w:after="80" w:line="324" w:lineRule="auto"/>
        <w:ind w:firstLine="420"/>
      </w:pPr>
      <w:r>
        <w:rPr>
          <w:b w:val="0"/>
        </w:rPr>
        <w:t>第5轮为新激励方案。设计2026年计提基数、个人与团队池比例、费率、封顶、保底、渠道返利和结算周期。本轮只输出05新激励方案.rar。本轮自检要求10项参数完整，新旧成本对比可复算。</w:t>
      </w:r>
    </w:p>
    <w:p>
      <w:pPr>
        <w:spacing w:after="80" w:line="324" w:lineRule="auto"/>
        <w:ind w:firstLine="420"/>
      </w:pPr>
      <w:r>
        <w:rPr>
          <w:b w:val="0"/>
        </w:rPr>
        <w:t>第6轮为模拟测算与敏感性。使用2024年全年订单回测新方案，并完成9组“回款增长率×直销费率”敏感性测算。本轮只输出06模拟测算与敏感性.rar。本轮自检要求120人逐人对比齐全，9组敏感性均有结果，成本增幅不超过15%。</w:t>
      </w:r>
    </w:p>
    <w:p>
      <w:pPr>
        <w:spacing w:after="80" w:line="324" w:lineRule="auto"/>
        <w:ind w:firstLine="420"/>
      </w:pPr>
      <w:r>
        <w:rPr>
          <w:b w:val="0"/>
        </w:rPr>
        <w:t>第7轮为勾稽自检。完成订单数、人数、金额、封顶、团队池、渠道返利和新旧成本共24项勾稽。本轮只输出07勾稽自检.rar。本轮自检要求24项全部闭合且不一致项为0；未闭合不得进入第8轮。</w:t>
      </w:r>
    </w:p>
    <w:p>
      <w:pPr>
        <w:spacing w:after="80" w:line="324" w:lineRule="auto"/>
        <w:ind w:firstLine="420"/>
      </w:pPr>
      <w:r>
        <w:rPr>
          <w:b w:val="0"/>
        </w:rPr>
        <w:t>第8轮为结论与驳回。给出一句话核心结论、结论摘要、12项错误管理要求驳回和清算结论。本轮只输出08结论与驳回.rar。本轮自检要求核心结论可由明细与勾稽逐项回溯，12项驳回均引用依据条款。</w:t>
      </w:r>
    </w:p>
    <w:p>
      <w:pPr>
        <w:spacing w:before="200" w:after="120"/>
      </w:pPr>
      <w:r>
        <w:rPr>
          <w:b/>
          <w:sz w:val="28"/>
        </w:rPr>
        <w:t>四、输入附件</w:t>
      </w:r>
    </w:p>
    <w:p>
      <w:pPr>
        <w:spacing w:after="80" w:line="324" w:lineRule="auto"/>
        <w:ind w:firstLine="420"/>
      </w:pPr>
      <w:r>
        <w:rPr>
          <w:b w:val="0"/>
        </w:rPr>
        <w:t>输入附件共8包。</w:t>
      </w:r>
    </w:p>
    <w:p>
      <w:pPr>
        <w:spacing w:after="80" w:line="324" w:lineRule="auto"/>
        <w:ind w:firstLine="420"/>
      </w:pPr>
      <w:r>
        <w:rPr>
          <w:b w:val="0"/>
        </w:rPr>
        <w:t>01组织与人员薪酬.rar，包含销售花名册、团队目标与薪酬、区域划分。</w:t>
      </w:r>
    </w:p>
    <w:p>
      <w:pPr>
        <w:spacing w:after="80" w:line="324" w:lineRule="auto"/>
        <w:ind w:firstLine="420"/>
      </w:pPr>
      <w:r>
        <w:rPr>
          <w:b w:val="0"/>
        </w:rPr>
        <w:t>02订单主表.rar，包含订单主表。</w:t>
      </w:r>
    </w:p>
    <w:p>
      <w:pPr>
        <w:spacing w:after="80" w:line="324" w:lineRule="auto"/>
        <w:ind w:firstLine="420"/>
      </w:pPr>
      <w:r>
        <w:rPr>
          <w:b w:val="0"/>
        </w:rPr>
        <w:t>03回款退货与坏账.rar，包含回款流水、退货记录、坏账核销。</w:t>
      </w:r>
    </w:p>
    <w:p>
      <w:pPr>
        <w:spacing w:after="80" w:line="324" w:lineRule="auto"/>
        <w:ind w:firstLine="420"/>
      </w:pPr>
      <w:r>
        <w:rPr>
          <w:b w:val="0"/>
        </w:rPr>
        <w:t>04佣金政策三版.rar，包含佣金政策V1、V2、V3。</w:t>
      </w:r>
    </w:p>
    <w:p>
      <w:pPr>
        <w:spacing w:after="80" w:line="324" w:lineRule="auto"/>
        <w:ind w:firstLine="420"/>
      </w:pPr>
      <w:r>
        <w:rPr>
          <w:b w:val="0"/>
        </w:rPr>
        <w:t>05政策发文与会议纪要.rar，包含政策变更通知、经营会会议纪要。</w:t>
      </w:r>
    </w:p>
    <w:p>
      <w:pPr>
        <w:spacing w:after="80" w:line="324" w:lineRule="auto"/>
        <w:ind w:firstLine="420"/>
      </w:pPr>
      <w:r>
        <w:rPr>
          <w:b w:val="0"/>
        </w:rPr>
        <w:t>06渠道协议与返利.rar，包含渠道商清单、渠道返利阶梯、渠道协议摘要、渠道订单明细、渠道返利已付台账。</w:t>
      </w:r>
    </w:p>
    <w:p>
      <w:pPr>
        <w:spacing w:after="80" w:line="324" w:lineRule="auto"/>
        <w:ind w:firstLine="420"/>
      </w:pPr>
      <w:r>
        <w:rPr>
          <w:b w:val="0"/>
        </w:rPr>
        <w:t>07争议与申诉.rar，包含佣金争议台账、申诉沟通记录。</w:t>
      </w:r>
    </w:p>
    <w:p>
      <w:pPr>
        <w:spacing w:after="80" w:line="324" w:lineRule="auto"/>
        <w:ind w:firstLine="420"/>
      </w:pPr>
      <w:r>
        <w:rPr>
          <w:b w:val="0"/>
        </w:rPr>
        <w:t>08财务口径与管理要求.rar，包含财务确认规则、税务与换算口径、佣金已发台账、管理层要求。</w:t>
      </w:r>
    </w:p>
    <w:p>
      <w:pPr>
        <w:spacing w:before="200" w:after="120"/>
      </w:pPr>
      <w:r>
        <w:rPr>
          <w:b/>
          <w:sz w:val="28"/>
        </w:rPr>
        <w:t>五、制度与判断规则</w:t>
      </w:r>
    </w:p>
    <w:p>
      <w:pPr>
        <w:spacing w:after="80" w:line="324" w:lineRule="auto"/>
        <w:ind w:firstLine="420"/>
      </w:pPr>
      <w:r>
        <w:rPr>
          <w:b w:val="0"/>
        </w:rPr>
        <w:t>V1适用于2022年发货订单。计提基数为含税发货额扣减退货，标准费率为3%，新客户首单为4%，累计回款率达到90%方可发放，月度封顶为10倍月基本工资。</w:t>
      </w:r>
    </w:p>
    <w:p>
      <w:pPr>
        <w:spacing w:after="80" w:line="324" w:lineRule="auto"/>
        <w:ind w:firstLine="420"/>
      </w:pPr>
      <w:r>
        <w:rPr>
          <w:b w:val="0"/>
        </w:rPr>
        <w:t>V2适用于2023年发货订单。计提基数为含税回款扣减退款，标准费率为3.5%，单笔累计回款超过500万元的部分适用5%，不设封顶。</w:t>
      </w:r>
    </w:p>
    <w:p>
      <w:pPr>
        <w:spacing w:after="80" w:line="324" w:lineRule="auto"/>
        <w:ind w:firstLine="420"/>
      </w:pPr>
      <w:r>
        <w:rPr>
          <w:b w:val="0"/>
        </w:rPr>
        <w:t>V3适用于2024年1月1日至2025年8月31日发货订单。计提基数为不含税净回款，直销费率为3%，渠道单费率为1.5%，个人分配80%，团队池分配20%，合作单按主谈70%、协助30%拆分，月度封顶为12倍月基本工资，新人前3个月保底8000元。</w:t>
      </w:r>
    </w:p>
    <w:p>
      <w:pPr>
        <w:spacing w:after="80" w:line="324" w:lineRule="auto"/>
        <w:ind w:firstLine="420"/>
      </w:pPr>
      <w:r>
        <w:rPr>
          <w:b w:val="0"/>
        </w:rPr>
        <w:t>渠道返利按年度含税进货额套用2%至5%阶梯，进货额按发货额扣减退货计算。设有保底条款的渠道按阶梯返利与保底金额孰高确认，次年1月结算。</w:t>
      </w:r>
    </w:p>
    <w:p>
      <w:pPr>
        <w:spacing w:after="80" w:line="324" w:lineRule="auto"/>
      </w:pPr>
      <w:r>
        <w:rPr>
          <w:b/>
        </w:rPr>
        <w:t>判断规则如下。</w:t>
      </w:r>
    </w:p>
    <w:p>
      <w:pPr>
        <w:spacing w:after="80" w:line="324" w:lineRule="auto"/>
      </w:pPr>
      <w:r>
        <w:rPr>
          <w:b w:val="0"/>
        </w:rPr>
        <w:t>1. 同一订单号多次出现时，以首次导入记录为准，其余作为重复行剔除，但不得整单删除。</w:t>
      </w:r>
    </w:p>
    <w:p>
      <w:pPr>
        <w:spacing w:after="80" w:line="324" w:lineRule="auto"/>
      </w:pPr>
      <w:r>
        <w:rPr>
          <w:b w:val="0"/>
        </w:rPr>
        <w:t>2. 政策版本按订单发货日期归属，不按订单日期或回款日期；2025年发货仍适用V3。</w:t>
      </w:r>
    </w:p>
    <w:p>
      <w:pPr>
        <w:spacing w:after="80" w:line="324" w:lineRule="auto"/>
      </w:pPr>
      <w:r>
        <w:rPr>
          <w:b w:val="0"/>
        </w:rPr>
        <w:t>3. 会议纪要和讨论稿不作为计算依据，以正式发文为准，并注意追溯条款。</w:t>
      </w:r>
    </w:p>
    <w:p>
      <w:pPr>
        <w:spacing w:after="80" w:line="324" w:lineRule="auto"/>
      </w:pPr>
      <w:r>
        <w:rPr>
          <w:b w:val="0"/>
        </w:rPr>
        <w:t>4. V1和V2为含税口径，V3须除以1.13换算为不含税净回款。</w:t>
      </w:r>
    </w:p>
    <w:p>
      <w:pPr>
        <w:spacing w:after="80" w:line="324" w:lineRule="auto"/>
      </w:pPr>
      <w:r>
        <w:rPr>
          <w:b w:val="0"/>
        </w:rPr>
        <w:t>5. 退货冲减计提基数和已发佣金，坏账从V3净回款中扣除。</w:t>
      </w:r>
    </w:p>
    <w:p>
      <w:pPr>
        <w:spacing w:after="80" w:line="324" w:lineRule="auto"/>
      </w:pPr>
      <w:r>
        <w:rPr>
          <w:b w:val="0"/>
        </w:rPr>
        <w:t>6. 封顶按“人×年月”累计，超出部分不结转以后月份。</w:t>
      </w:r>
    </w:p>
    <w:p>
      <w:pPr>
        <w:spacing w:after="80" w:line="324" w:lineRule="auto"/>
      </w:pPr>
      <w:r>
        <w:rPr>
          <w:b w:val="0"/>
        </w:rPr>
        <w:t>7. V1和V2合作单全部归签约人，V3按主谈70%、协助30%拆分。</w:t>
      </w:r>
    </w:p>
    <w:p>
      <w:pPr>
        <w:spacing w:after="80" w:line="324" w:lineRule="auto"/>
      </w:pPr>
      <w:r>
        <w:rPr>
          <w:b w:val="0"/>
        </w:rPr>
        <w:t>8. 团队池按团队年度目标达成率不低于100%发放，未达标部分留存。</w:t>
      </w:r>
    </w:p>
    <w:p>
      <w:pPr>
        <w:spacing w:after="80" w:line="324" w:lineRule="auto"/>
      </w:pPr>
      <w:r>
        <w:rPr>
          <w:b w:val="0"/>
        </w:rPr>
        <w:t>9. 佣金已发台账为财务实付数，不作为应发依据。</w:t>
      </w:r>
    </w:p>
    <w:p>
      <w:pPr>
        <w:spacing w:after="80" w:line="324" w:lineRule="auto"/>
      </w:pPr>
      <w:r>
        <w:rPr>
          <w:b w:val="0"/>
        </w:rPr>
        <w:t>10. 渠道返利与销售佣金是两套激励，不得重复计入。</w:t>
      </w:r>
    </w:p>
    <w:p>
      <w:pPr>
        <w:spacing w:before="200" w:after="120"/>
      </w:pPr>
      <w:r>
        <w:rPr>
          <w:b/>
          <w:sz w:val="28"/>
        </w:rPr>
        <w:t>六、交付物</w:t>
      </w:r>
    </w:p>
    <w:p>
      <w:pPr>
        <w:spacing w:after="80" w:line="324" w:lineRule="auto"/>
      </w:pPr>
      <w:r>
        <w:rPr>
          <w:b w:val="0"/>
        </w:rPr>
        <w:t>01 订单佣金清算.rar</w:t>
      </w:r>
    </w:p>
    <w:p>
      <w:pPr>
        <w:spacing w:after="80" w:line="324" w:lineRule="auto"/>
      </w:pPr>
      <w:r>
        <w:rPr>
          <w:b w:val="0"/>
        </w:rPr>
        <w:t>02 人员汇总与异常核查.rar</w:t>
      </w:r>
    </w:p>
    <w:p>
      <w:pPr>
        <w:spacing w:after="80" w:line="324" w:lineRule="auto"/>
      </w:pPr>
      <w:r>
        <w:rPr>
          <w:b w:val="0"/>
        </w:rPr>
        <w:t>03 争议裁决.rar</w:t>
      </w:r>
    </w:p>
    <w:p>
      <w:pPr>
        <w:spacing w:after="80" w:line="324" w:lineRule="auto"/>
      </w:pPr>
      <w:r>
        <w:rPr>
          <w:b w:val="0"/>
        </w:rPr>
        <w:t>04 渠道返利台账.rar</w:t>
      </w:r>
    </w:p>
    <w:p>
      <w:pPr>
        <w:spacing w:after="80" w:line="324" w:lineRule="auto"/>
      </w:pPr>
      <w:r>
        <w:rPr>
          <w:b w:val="0"/>
        </w:rPr>
        <w:t>05 新激励方案.rar</w:t>
      </w:r>
    </w:p>
    <w:p>
      <w:pPr>
        <w:spacing w:after="80" w:line="324" w:lineRule="auto"/>
      </w:pPr>
      <w:r>
        <w:rPr>
          <w:b w:val="0"/>
        </w:rPr>
        <w:t>06 模拟测算与敏感性.rar</w:t>
      </w:r>
    </w:p>
    <w:p>
      <w:pPr>
        <w:spacing w:after="80" w:line="324" w:lineRule="auto"/>
      </w:pPr>
      <w:r>
        <w:rPr>
          <w:b w:val="0"/>
        </w:rPr>
        <w:t>07 勾稽自检.rar</w:t>
      </w:r>
    </w:p>
    <w:p>
      <w:pPr>
        <w:spacing w:after="80" w:line="324" w:lineRule="auto"/>
      </w:pPr>
      <w:r>
        <w:rPr>
          <w:b w:val="0"/>
        </w:rPr>
        <w:t>08 结论与驳回.rar</w:t>
      </w:r>
    </w:p>
    <w:p>
      <w:pPr>
        <w:spacing w:before="200" w:after="120"/>
      </w:pPr>
      <w:r>
        <w:rPr>
          <w:b/>
          <w:sz w:val="28"/>
        </w:rPr>
        <w:t>七、约束条件</w:t>
      </w:r>
    </w:p>
    <w:p>
      <w:pPr>
        <w:spacing w:after="80" w:line="324" w:lineRule="auto"/>
      </w:pPr>
      <w:r>
        <w:rPr>
          <w:b w:val="0"/>
        </w:rPr>
        <w:t>1. 仅使用附件材料，不得引入外部数据，不得联网检索。</w:t>
      </w:r>
    </w:p>
    <w:p>
      <w:pPr>
        <w:spacing w:after="80" w:line="324" w:lineRule="auto"/>
      </w:pPr>
      <w:r>
        <w:rPr>
          <w:b w:val="0"/>
        </w:rPr>
        <w:t>2. 所有金额以人民币元为单位并保留两位小数，比例保留两位；明细中不得用“万元”替代“元”。</w:t>
      </w:r>
    </w:p>
    <w:p>
      <w:pPr>
        <w:spacing w:after="80" w:line="324" w:lineRule="auto"/>
      </w:pPr>
      <w:r>
        <w:rPr>
          <w:b w:val="0"/>
        </w:rPr>
        <w:t>3. 逐单、逐人给出结论，不得抽样或估算；每条记录必须有明确状态，不得留空。</w:t>
      </w:r>
    </w:p>
    <w:p>
      <w:pPr>
        <w:spacing w:after="80" w:line="324" w:lineRule="auto"/>
      </w:pPr>
      <w:r>
        <w:rPr>
          <w:b w:val="0"/>
        </w:rPr>
        <w:t>4. 订单去重、政策归属、文件效力和金额口径以《财务确认规则》为准。</w:t>
      </w:r>
    </w:p>
    <w:p>
      <w:pPr>
        <w:spacing w:after="80" w:line="324" w:lineRule="auto"/>
      </w:pPr>
      <w:r>
        <w:rPr>
          <w:b w:val="0"/>
        </w:rPr>
        <w:t>5. 政策适用以订单发货日期为准，不按订单日期或回款日期归属。</w:t>
      </w:r>
    </w:p>
    <w:p>
      <w:pPr>
        <w:spacing w:after="80" w:line="324" w:lineRule="auto"/>
      </w:pPr>
      <w:r>
        <w:rPr>
          <w:b w:val="0"/>
        </w:rPr>
        <w:t>6. 退货、坏账、离职、封顶和合作单拆分必须逐单体现，不得只做总额调整。</w:t>
      </w:r>
    </w:p>
    <w:p>
      <w:pPr>
        <w:spacing w:after="80" w:line="324" w:lineRule="auto"/>
      </w:pPr>
      <w:r>
        <w:rPr>
          <w:b w:val="0"/>
        </w:rPr>
        <w:t>7. 每个争议裁决、每条管理层要求驳回均须给出依据条款编号。</w:t>
      </w:r>
    </w:p>
    <w:p>
      <w:pPr>
        <w:spacing w:after="80" w:line="324" w:lineRule="auto"/>
      </w:pPr>
      <w:r>
        <w:rPr>
          <w:b w:val="0"/>
        </w:rPr>
        <w:t>8. 八个交付包之间的订单数、人数和金额必须相互勾稽，24项自检全部闭合；任一项不闭合视为未完成。</w:t>
      </w:r>
    </w:p>
    <w:p>
      <w:pPr>
        <w:spacing w:after="80" w:line="324" w:lineRule="auto"/>
      </w:pPr>
      <w:r>
        <w:rPr>
          <w:b w:val="0"/>
        </w:rPr>
        <w:t>9. 不得修改原始附件；交付文件按包名和工作表命名，表头和列序不得调整。</w:t>
      </w:r>
    </w:p>
    <w:p>
      <w:pPr>
        <w:spacing w:after="80" w:line="324" w:lineRule="auto"/>
      </w:pPr>
      <w:r>
        <w:rPr>
          <w:b w:val="0"/>
        </w:rPr>
        <w:t>10. 新方案须在旧方案基础上测算成本，并给出9组敏感性结果。</w:t>
      </w:r>
    </w:p>
    <w:p>
      <w:pPr>
        <w:spacing w:after="80" w:line="324" w:lineRule="auto"/>
      </w:pPr>
      <w:r>
        <w:rPr>
          <w:b w:val="0"/>
        </w:rPr>
        <w:t>11. 已发台账中的13条异常预发记录须单列核查，注明异常类型、应补、应追回或一致，并给出处理建议。</w:t>
      </w:r>
    </w:p>
    <w:p>
      <w:pPr>
        <w:spacing w:after="80" w:line="324" w:lineRule="auto"/>
      </w:pPr>
      <w:r>
        <w:rPr>
          <w:b w:val="0"/>
        </w:rPr>
        <w:t>12. 结论中必须给出一句话核心结论，且能被明细数据支撑；不得只写“存在若干问题”。</w:t>
      </w:r>
    </w:p>
    <w:p>
      <w:pPr>
        <w:spacing w:after="80" w:line="324" w:lineRule="auto"/>
      </w:pPr>
      <w:r>
        <w:rPr>
          <w:b w:val="0"/>
        </w:rPr>
        <w:t>13. 重复导入行、统计截止日后的回款或退款、负净回款订单和无回款订单，必须逐条列出处理结论，不得静默丢弃。</w:t>
      </w:r>
    </w:p>
    <w:p>
      <w:pPr>
        <w:spacing w:after="80" w:line="324" w:lineRule="auto"/>
      </w:pPr>
      <w:r>
        <w:rPr>
          <w:b w:val="0"/>
        </w:rPr>
        <w:t>14. 计算底稿须保留“政策版本、事件日期、计提基数、费率、封顶扣减”五要素，便于逐行复核。</w:t>
      </w:r>
    </w:p>
    <w:p>
      <w:pPr>
        <w:spacing w:after="80" w:line="324" w:lineRule="auto"/>
      </w:pPr>
      <w:r>
        <w:rPr>
          <w:b w:val="0"/>
        </w:rPr>
        <w:t>15. 不得使用合并单元格、空表或空列；金额差异为正写“应补”，为负写“应追回”。</w:t>
      </w:r>
    </w:p>
    <w:p>
      <w:pPr>
        <w:spacing w:after="80" w:line="324" w:lineRule="auto"/>
      </w:pPr>
      <w:r>
        <w:rPr>
          <w:b w:val="0"/>
        </w:rPr>
        <w:t>16. 必须按八轮顺序逐轮交付，每轮只完成一个任务，不得一次性输出全部结果。</w:t>
      </w:r>
    </w:p>
    <w:p>
      <w:pPr>
        <w:spacing w:after="80" w:line="324" w:lineRule="auto"/>
      </w:pPr>
      <w:r>
        <w:rPr>
          <w:b w:val="0"/>
        </w:rPr>
        <w:t>17. 每轮结束必须提交本轮自检记录，列明检查项、结果、证据和未通过原因。</w:t>
      </w:r>
    </w:p>
    <w:p>
      <w:pPr>
        <w:spacing w:after="80" w:line="324" w:lineRule="auto"/>
      </w:pPr>
      <w:r>
        <w:rPr>
          <w:b w:val="0"/>
        </w:rPr>
        <w:t>18. 上一轮自检未通过或交付物不完整，不得进入下一轮。</w:t>
      </w:r>
    </w:p>
    <w:p>
      <w:pPr>
        <w:spacing w:after="80" w:line="324" w:lineRule="auto"/>
      </w:pPr>
      <w:r>
        <w:rPr>
          <w:b w:val="0"/>
        </w:rPr>
        <w:t>19. 每轮只提交当轮对应交付包，不得跨轮合并、提前输出或补交后续轮次内容。</w:t>
      </w:r>
    </w:p>
    <w:p>
      <w:pPr>
        <w:spacing w:after="80" w:line="324" w:lineRule="auto"/>
      </w:pPr>
      <w:r>
        <w:rPr>
          <w:b w:val="0"/>
        </w:rPr>
        <w:t>20. 任何一轮无法完成时，必须停止在该轮并说明缺口，不得跳过或降级处理。</w:t>
      </w:r>
    </w:p>
    <w:p>
      <w:pPr>
        <w:spacing w:after="80" w:line="324" w:lineRule="auto"/>
      </w:pPr>
      <w:r>
        <w:rPr>
          <w:b w:val="0"/>
        </w:rPr>
        <w:t>21. 最终交付以八轮全部通过为前提；任一轮未通过，整体视为未完成。</w:t>
      </w:r>
    </w:p>
    <w:p>
      <w:pPr>
        <w:spacing w:before="200" w:after="120"/>
      </w:pPr>
      <w:r>
        <w:rPr>
          <w:b/>
          <w:sz w:val="28"/>
        </w:rPr>
        <w:t>八、完成标准</w:t>
      </w:r>
    </w:p>
    <w:p>
      <w:pPr>
        <w:spacing w:after="80" w:line="324" w:lineRule="auto"/>
        <w:ind w:firstLine="420"/>
      </w:pPr>
      <w:r>
        <w:rPr>
          <w:b w:val="0"/>
        </w:rPr>
        <w:t>八轮任务逐轮完成且逐轮自检通过。全部720个有效订单均有清算结论，120名销售均有应发、已发和差额，60件争议均有裁决，40家渠道的2022年至2024年度返利均清算完毕，13条已发异常记录均单列，24项勾稽全部通过，新方案回测成本增幅不超过15%，核心结论与明细数据一致。任一轮未完成或自检不通过，不得进入下一轮，整体不得视为完成。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睿联工业设备有限公司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董事会审计委员会</dc:creator>
  <cp:lastModifiedBy>董事会审计委员会</cp:lastModifiedBy>
  <dcterms:created xsi:type="dcterms:W3CDTF">2025-08-28T02:00:00Z</dcterms:created>
  <dcterms:modified xsi:type="dcterms:W3CDTF">2025-08-30T09:00:00Z</dcterms:modified>
</cp:coreProperties>
</file>