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销售佣金与渠道返利的历史清算及新激励方案</w:t>
        <w:br/>
        <w:t>命 题 说 明</w:t>
      </w:r>
    </w:p>
    <w:p>
      <w:pPr>
        <w:jc w:val="center"/>
      </w:pPr>
      <w:r>
        <w:rPr>
          <w:sz w:val="21"/>
        </w:rPr>
        <w:t>高经济价值任务 · 第六期 · 专业咨询类 · v1</w:t>
      </w:r>
    </w:p>
    <w:p/>
    <w:p>
      <w:pPr>
        <w:spacing w:before="240" w:after="120"/>
      </w:pPr>
      <w:r>
        <w:rPr>
          <w:b/>
          <w:sz w:val="30"/>
        </w:rPr>
        <w:t>一、命题定位与难度自评</w:t>
      </w:r>
    </w:p>
    <w:p>
      <w:pPr>
        <w:spacing w:after="80" w:line="324" w:lineRule="auto"/>
        <w:ind w:firstLine="420"/>
      </w:pPr>
      <w:r>
        <w:rPr>
          <w:b w:val="0"/>
        </w:rPr>
        <w:t>本题以虚构的睿联工业设备有限公司为背景，要求受托方对2022年至2025年8月的销售佣金与渠道返利开展全面历史清算，并在此基础上设计2026年新激励方案。题目不设“标准表格模板”，只给定三版政策原文、正式发文、讨论稿、财务口径与六包原始数据，要求答题者自行建立口径、自行组织计算链路，最终在六个交付包之间形成数字互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b/>
                <w:sz w:val="18"/>
              </w:rPr>
              <w:t>设计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对应硬门槛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信息规模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6个输入包、24张原始表、约3000行明细；订单732行、回款1327笔、退货70笔、坏账49笔、已发台账480条、争议60件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多包交付且包间互证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链路长度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去重→政策归属→事件流→逐单计提→封顶→人员汇总→团队池→渠道返利→争议→新方案回测→敏感性→勾稽，共12段计算链路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≥50步执行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陷阱密度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19个考点、12项管理层错误要求、5份会议纪要（含1份讨论稿）、6类特殊业务形态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SOTA得分≤50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口径唯一性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20项勾稽全部闭合，任一环节口径错误都会在人员汇总或勾稽表中暴露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答案可机检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sz w:val="30"/>
        </w:rPr>
        <w:t>二、考点清单（6组19个考点，12个关键，标K）</w:t>
      </w:r>
    </w:p>
    <w:p>
      <w:pPr>
        <w:spacing w:after="80" w:line="324" w:lineRule="auto"/>
        <w:ind w:firstLine="420"/>
      </w:pPr>
      <w:r>
        <w:rPr>
          <w:b w:val="0"/>
        </w:rPr>
        <w:t>考点按“数据治理—政策效力—逐单计提—分配调节—渠道—裁决与方案”六组排列，合计100分。编号A1-F5为考点序号，括号内K为关键考点的评分点编号。</w:t>
      </w:r>
    </w:p>
    <w:p>
      <w:pPr>
        <w:spacing w:before="160" w:after="120"/>
      </w:pPr>
      <w:r>
        <w:rPr>
          <w:b/>
          <w:sz w:val="24"/>
        </w:rPr>
        <w:t>第一组　数据治理（2个考点，2个关键，8分）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考点</w:t>
            </w:r>
          </w:p>
        </w:tc>
        <w:tc>
          <w:tcPr>
            <w:tcW w:type="dxa" w:w="6009"/>
          </w:tcPr>
          <w:p>
            <w:pPr>
              <w:jc w:val="center"/>
            </w:pPr>
            <w:r>
              <w:rPr>
                <w:b/>
                <w:sz w:val="18"/>
              </w:rPr>
              <w:t>关键陷阱与判定要求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A1（K1）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订单去重与唯一性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订单主表732行中存在12条重复导入，须按《财务确认规则》第1条“以首次导入记录为准”去重，唯一订单720单；重复行不得重复计提，也不得整单剔除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A2（K2）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统计截止与期间归属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回款、退款、坏账一律截至2025-08-31；政策版本按“发货日期”归属，不得按订单日期或回款日期；2025年发货订单仍适用V3但渠道返利不结2025年度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b/>
          <w:sz w:val="24"/>
        </w:rPr>
        <w:t>第二组　政策效力（3个考点，2个关键，12分）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考点</w:t>
            </w:r>
          </w:p>
        </w:tc>
        <w:tc>
          <w:tcPr>
            <w:tcW w:type="dxa" w:w="6009"/>
          </w:tcPr>
          <w:p>
            <w:pPr>
              <w:jc w:val="center"/>
            </w:pPr>
            <w:r>
              <w:rPr>
                <w:b/>
                <w:sz w:val="18"/>
              </w:rPr>
              <w:t>关键陷阱与判定要求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B1（K3）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三版政策适用边界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V1=2022年发货168单、V2=2023年发货197单、V3=2024-01-01至2025-08-31发货355单，三段合计须等于720单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B2（K4）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文件效力与追溯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2023-03-10会议纪要为“讨论稿、未形成正式发文”，不得作为V2自2023-04-01执行的依据；睿联销字〔2023〕07号明确自2023-01-01追溯执行，故1-3月订单仍按V2而非V1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渠道单费率文件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睿联销字〔2024〕15号明确渠道单佣金按直销费率减半（1.5%），目的是避免与渠道返利重复激励；渠道返利不得计入佣金计提基数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b/>
          <w:sz w:val="24"/>
        </w:rPr>
        <w:t>第三组　逐单计提（4个考点，3个关键，26分）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考点</w:t>
            </w:r>
          </w:p>
        </w:tc>
        <w:tc>
          <w:tcPr>
            <w:tcW w:type="dxa" w:w="6009"/>
          </w:tcPr>
          <w:p>
            <w:pPr>
              <w:jc w:val="center"/>
            </w:pPr>
            <w:r>
              <w:rPr>
                <w:b/>
                <w:sz w:val="18"/>
              </w:rPr>
              <w:t>关键陷阱与判定要求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C1（K5）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V1基数与90%门槛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基数=含税发货额-退货；费率3%，新客户首单4%；回款率=（含税回款-退货）/含税发货额，≥90%才计提，38单未达门槛须挂账不发放、不结转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C2（K6）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V2事件流与超额累进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基数=含税回款-退款，按事件时间顺序累计；单笔订单累计回款超500万元的部分按5%，其余3.5%；退款按3.5%冲减；离职次月起回款不再计提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C3（K7）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V3净回款口径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基数=（含税回款-退款-坏账核销）/1.13；坏账作为负事件冲减；直销3%、渠道单1.5%；未除税或漏扣坏账为主要失分点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合作单拆分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V1/V2合作单全部归签约人；V3（2024年起）按主谈70%、协助30%拆分，协作销售须在订单清算表中单独体现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b/>
          <w:sz w:val="24"/>
        </w:rPr>
        <w:t>第四组　分配与调节（4个考点，2个关键，16分）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考点</w:t>
            </w:r>
          </w:p>
        </w:tc>
        <w:tc>
          <w:tcPr>
            <w:tcW w:type="dxa" w:w="6009"/>
          </w:tcPr>
          <w:p>
            <w:pPr>
              <w:jc w:val="center"/>
            </w:pPr>
            <w:r>
              <w:rPr>
                <w:b/>
                <w:sz w:val="18"/>
              </w:rPr>
              <w:t>关键陷阱与判定要求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个人与团队池分配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V3佣金总额按个人80%、团队池20%拆分；团队池不是个人应发，须单列，不得混入个人差额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D2（K8）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月度封顶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V1按10倍月基本工资、V3按12倍；按“人×年月”累计，超出部分不结转以后月份；全期封顶扣减605.21万元、涉及39人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D3（K9）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新人保底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仅限入职前3个自然月，月佣金不足8000元补足；不得按全年12个月发放；全期补差22.18万元、涉及10人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团队池发放条件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团队年度目标达成率≥100%方可发放，未达标留存不发放；2024年华东、西北、华中3个团队达标，可发128.31万元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b/>
          <w:sz w:val="24"/>
        </w:rPr>
        <w:t>第五组　渠道返利（1个考点，1个关键，12分）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考点</w:t>
            </w:r>
          </w:p>
        </w:tc>
        <w:tc>
          <w:tcPr>
            <w:tcW w:type="dxa" w:w="6009"/>
          </w:tcPr>
          <w:p>
            <w:pPr>
              <w:jc w:val="center"/>
            </w:pPr>
            <w:r>
              <w:rPr>
                <w:b/>
                <w:sz w:val="18"/>
              </w:rPr>
              <w:t>关键陷阱与判定要求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E1（K10）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返利阶梯、保底与年度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按年度含税净进货额（发货额-退货）套2%-5%阶梯；协议有保底条款的按“阶梯与保底孰高”；次年1月结算；2025年度未到结算期不计；40家渠道×4个年度=160行须全部有结论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b/>
          <w:sz w:val="24"/>
        </w:rPr>
        <w:t>第六组　裁决、方案与勾稽（5个考点，2个关键，26分）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8"/>
              </w:rPr>
              <w:t>考点</w:t>
            </w:r>
          </w:p>
        </w:tc>
        <w:tc>
          <w:tcPr>
            <w:tcW w:type="dxa" w:w="6009"/>
          </w:tcPr>
          <w:p>
            <w:pPr>
              <w:jc w:val="center"/>
            </w:pPr>
            <w:r>
              <w:rPr>
                <w:b/>
                <w:sz w:val="18"/>
              </w:rPr>
              <w:t>关键陷阱与判定要求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争议裁决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60件争议须逐单对照政策与财务规则裁决，不得按申诉金额全额支持；结论分支持/部分支持/不支持三类，须给出条款依据；裁决合计660.51万元，申诉合计1575.07万元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F2（K11）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管理层错误要求驳回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12项要求逐条驳回，每项须写明违反的具体条款；重点包括V3不溯及2022-2023、封顶不可取消、讨论稿无效、坏账视同回款错误、团队池不得按人头平均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F3（K12）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新方案设计与回测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须给出基数、分档费率、渠道费率、个人/团队比例、封顶、保底、离职与清算周期等完整参数，并用2024年全年订单回测；新方案成本1430.78万元，较旧方案1295.47万元增长10.44%，须≤15%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敏感性分析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按回款增长率（-10%/0/+10%）×直销费率（-0.2pp/0/+0.2pp）形成9组，逐人重算而非整体乘系数；结果区间1196.80万-1682.31万元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勾稽自检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20项勾稽须全部闭合：订单数、三版单数、逐单与人员汇总、团队池、已发台账、应补应追回、渠道返利、争议、新旧方案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sz w:val="30"/>
        </w:rPr>
        <w:t>三、作答思路（建议执行顺序）</w:t>
      </w:r>
    </w:p>
    <w:p>
      <w:pPr>
        <w:spacing w:after="80" w:line="324" w:lineRule="auto"/>
      </w:pPr>
      <w:r>
        <w:rPr>
          <w:b/>
        </w:rPr>
        <w:t>第一步　建口径底稿：</w:t>
      </w:r>
      <w:r>
        <w:t>先读输入包06《财务确认规则》《税务与换算口径》，再读输入包03三版政策与三份正式发文，把“去重规则、政策按发货日期归属、会议纪要不作依据、含税/不含税换算、退货与坏账处理、已发台账不作应发依据、渠道返利与佣金不重复”七条固化为口径表。此步决定后续所有数字，不能边算边猜。</w:t>
      </w:r>
    </w:p>
    <w:p>
      <w:pPr>
        <w:spacing w:after="80" w:line="324" w:lineRule="auto"/>
      </w:pPr>
      <w:r>
        <w:rPr>
          <w:b/>
        </w:rPr>
        <w:t>第二步　清洗订单主表：</w:t>
      </w:r>
      <w:r>
        <w:t>按订单号去重（保留首次导入），解析发货日期，按发货年度打政策版本标签，剔除统计截止日之后的记录；得到720单、V1/V2/V3=168/197/355的分布，作为第一道自检。</w:t>
      </w:r>
    </w:p>
    <w:p>
      <w:pPr>
        <w:spacing w:after="80" w:line="324" w:lineRule="auto"/>
      </w:pPr>
      <w:r>
        <w:rPr>
          <w:b/>
        </w:rPr>
        <w:t>第三步　构建事件流：</w:t>
      </w:r>
      <w:r>
        <w:t>以订单号为键归集回款、退货、坏账三类事件，按日期排序并截断至2025-08-31；V1需要“累计回款率”，V2需要“逐笔累计超额”，V3需要“净回款扣坏账”，三种口径必须分别建流，不能共用一套汇总数。</w:t>
      </w:r>
    </w:p>
    <w:p>
      <w:pPr>
        <w:spacing w:after="80" w:line="324" w:lineRule="auto"/>
      </w:pPr>
      <w:r>
        <w:rPr>
          <w:b/>
        </w:rPr>
        <w:t>第四步　逐单计提：</w:t>
      </w:r>
      <w:r>
        <w:t>按版本分支：V1算基数与回款率、判90%门槛、挂账另记；V2按事件顺序累计，500万元以内3.5%、超出部分5%，退款按3.5%冲减；V3先除税1.13再扣退款与坏账，按直销/渠道套3%/1.5%，并按合作单70:30拆分。每单输出佣金总额、个人应发、团队池、封顶扣减、状态备注。</w:t>
      </w:r>
    </w:p>
    <w:p>
      <w:pPr>
        <w:spacing w:after="80" w:line="324" w:lineRule="auto"/>
      </w:pPr>
      <w:r>
        <w:rPr>
          <w:b/>
        </w:rPr>
        <w:t>第五步　月度封顶：</w:t>
      </w:r>
      <w:r>
        <w:t>按“人×年月”汇总应发，V1用10倍、V3用12倍月基本工资比对，超出部分当月扣减且不结转；封顶必须在逐单层留痕，否则人员汇总无法复核。</w:t>
      </w:r>
    </w:p>
    <w:p>
      <w:pPr>
        <w:spacing w:after="80" w:line="324" w:lineRule="auto"/>
      </w:pPr>
      <w:r>
        <w:rPr>
          <w:b/>
        </w:rPr>
        <w:t>第六步　人员汇总与差额：</w:t>
      </w:r>
      <w:r>
        <w:t>按人汇总V1、V2、V3个人应发，叠加新人保底补差，得到应发合计；与已发台账（480条，含错误支付）比对，输出应补55人、应追回62人、一致3人；不能用“应发-已发”的正负号代替逐人判断。</w:t>
      </w:r>
    </w:p>
    <w:p>
      <w:pPr>
        <w:spacing w:after="80" w:line="324" w:lineRule="auto"/>
      </w:pPr>
      <w:r>
        <w:rPr>
          <w:b/>
        </w:rPr>
        <w:t>第七步　团队池与渠道返利：</w:t>
      </w:r>
      <w:r>
        <w:t>团队池按团队×年度汇总V3的20%部分，用团队年度目标达成率判定可发或留存；渠道返利按渠道×年度汇总净进货额，套阶梯并与协议保底孰高，扣除已付得出应补。</w:t>
      </w:r>
    </w:p>
    <w:p>
      <w:pPr>
        <w:spacing w:after="80" w:line="324" w:lineRule="auto"/>
      </w:pPr>
      <w:r>
        <w:rPr>
          <w:b/>
        </w:rPr>
        <w:t>第八步　争议与错误要求：</w:t>
      </w:r>
      <w:r>
        <w:t>争议逐单回到订单清算结果，说明申诉金额与裁决金额的差额来源；管理层要求逐条对应政策条款驳回，注意区分“正式发文”与“讨论稿”。</w:t>
      </w:r>
    </w:p>
    <w:p>
      <w:pPr>
        <w:spacing w:after="80" w:line="324" w:lineRule="auto"/>
      </w:pPr>
      <w:r>
        <w:rPr>
          <w:b/>
        </w:rPr>
        <w:t>第九步　新方案与敏感性：</w:t>
      </w:r>
      <w:r>
        <w:t>在旧方案基础上调整参数，用2024年全年订单做同期回测，确保成本增幅≤15%；敏感性按9组逐人重算，观察佣金区间与成本刚性。</w:t>
      </w:r>
    </w:p>
    <w:p>
      <w:pPr>
        <w:spacing w:after="80" w:line="324" w:lineRule="auto"/>
      </w:pPr>
      <w:r>
        <w:rPr>
          <w:b/>
        </w:rPr>
        <w:t>第十步　勾稽与结论：</w:t>
      </w:r>
      <w:r>
        <w:t>完成20项勾稽，全部闭合后撰写结论：净超发273.13万元、应补545.57万元、应追回818.70万元、渠道返利应补450.59万元、新方案成本增长10.44%。</w:t>
      </w:r>
    </w:p>
    <w:p>
      <w:pPr>
        <w:spacing w:before="240" w:after="120"/>
      </w:pPr>
      <w:r>
        <w:rPr>
          <w:b/>
          <w:sz w:val="30"/>
        </w:rPr>
        <w:t>四、标准答案说明</w:t>
      </w:r>
    </w:p>
    <w:p>
      <w:pPr>
        <w:spacing w:after="80" w:line="324" w:lineRule="auto"/>
        <w:ind w:firstLine="420"/>
      </w:pPr>
      <w:r>
        <w:rPr>
          <w:b w:val="0"/>
        </w:rPr>
        <w:t>标准答案共6个包、11张工作表、3份说明文档、2张图。以下为关键结果与各包口径。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  <w:sz w:val="18"/>
              </w:rPr>
              <w:t>标准值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b/>
                <w:sz w:val="18"/>
              </w:rPr>
              <w:t>口径说明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唯一订单数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720单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订单主表732行，剔除12条重复导入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订单含税总额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22.89亿元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含税口径，未换算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V1应发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1063.88万元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2022年发货168单，其中130单达标、38单挂账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V2应发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1909.13万元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2023年发货197单，含500万元超额段与退款冲减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V3个人应发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1407.22万元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2024-2025年8月355单，不含团队池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新人保底补差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22.18万元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10名新入职人员，仅前3个自然月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佣金应发合计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4402.42万元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V1+V2+V3个人+保底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已发合计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4675.54万元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财务实际支付，含错误支付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净超发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273.13万元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已发-应发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应补 / 应追回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545.57万元（55人）/ 818.70万元（62人）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逐人差额，另有3人一致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封顶扣减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605.21万元（39人）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V1 10倍、V3 12倍，按月不结转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V3团队池计提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358.08万元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含未达标留存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2024年团队池可发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128.31万元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华东、西北、华中3个团队达标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渠道返利应付 / 已付 / 应补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1268.23 / 817.65 / 450.59万元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2022-2024三个年度，2025年不计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争议裁决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660.51万元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申诉1575.07万元；支持2、部分支持53、不支持5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新方案 / 旧方案成本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1430.78 / 1295.47万元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2024年全年同期回测，增长10.44%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敏感性区间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1196.80万-1682.31万元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9组，逐人重算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勾稽自检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20项全部一致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差异项为0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b/>
        </w:rPr>
        <w:t>各包构成与判定口径：</w:t>
      </w:r>
    </w:p>
    <w:p>
      <w:pPr>
        <w:spacing w:after="60" w:line="324" w:lineRule="auto"/>
      </w:pPr>
      <w:r>
        <w:rPr>
          <w:b/>
        </w:rPr>
        <w:t>01逐单清算与人员汇总：</w:t>
      </w:r>
      <w:r>
        <w:t>订单佣金清算720行（每单含政策版本、计提基数、佣金总额、个人应发、团队池、封顶扣减、状态备注）、人员佣金汇总120行（V1/V2/V3应发、封顶、保底、应发合计、已发、差额、处理结论）、团队池计提12行（6团队×2年度，含目标、达成率、计提、可发、留存）。</w:t>
      </w:r>
    </w:p>
    <w:p>
      <w:pPr>
        <w:spacing w:after="60" w:line="324" w:lineRule="auto"/>
      </w:pPr>
      <w:r>
        <w:rPr>
          <w:b/>
        </w:rPr>
        <w:t>02争议裁决：</w:t>
      </w:r>
      <w:r>
        <w:t>争议裁决60行（申诉金额、裁决结论、裁决金额、裁决依据）+ 裁决说明.docx（分类统计与典型争点）。</w:t>
      </w:r>
    </w:p>
    <w:p>
      <w:pPr>
        <w:spacing w:after="60" w:line="324" w:lineRule="auto"/>
      </w:pPr>
      <w:r>
        <w:rPr>
          <w:b/>
        </w:rPr>
        <w:t>03渠道返利台账：</w:t>
      </w:r>
      <w:r>
        <w:t>渠道返利清算160行（40家×2022-2025四个年度，2025年标注“未到结算期”），含净进货额、适用阶梯、阶梯返利、保底返利、应付、已付、应补。</w:t>
      </w:r>
    </w:p>
    <w:p>
      <w:pPr>
        <w:spacing w:after="60" w:line="324" w:lineRule="auto"/>
      </w:pPr>
      <w:r>
        <w:rPr>
          <w:b/>
        </w:rPr>
        <w:t>04新激励方案：</w:t>
      </w:r>
      <w:r>
        <w:t>新方案参数10项 + 销售激励方案.docx + 新旧成本对比.png；参数须自洽（基数、三档费率、渠道费率、70:30、5倍封顶、10000元保底、次月停计、季度预发年度清算）。</w:t>
      </w:r>
    </w:p>
    <w:p>
      <w:pPr>
        <w:spacing w:after="60" w:line="324" w:lineRule="auto"/>
      </w:pPr>
      <w:r>
        <w:rPr>
          <w:b/>
        </w:rPr>
        <w:t>05模拟测算与敏感性：</w:t>
      </w:r>
      <w:r>
        <w:t>新方案模拟120行（逐人新旧对比）、敏感性分析9组、佣金结构.png。</w:t>
      </w:r>
    </w:p>
    <w:p>
      <w:pPr>
        <w:spacing w:after="60" w:line="324" w:lineRule="auto"/>
      </w:pPr>
      <w:r>
        <w:rPr>
          <w:b/>
        </w:rPr>
        <w:t>06勾稽自检与结论：</w:t>
      </w:r>
      <w:r>
        <w:t>勾稽自检20项、错误要求驳回12项、结论摘要21项、清算结论.docx。</w:t>
      </w:r>
    </w:p>
    <w:p>
      <w:pPr>
        <w:spacing w:after="80" w:line="324" w:lineRule="auto"/>
      </w:pPr>
      <w:r>
        <w:rPr>
          <w:b/>
        </w:rPr>
        <w:t>常见错误（按失分频次排序）：</w:t>
      </w:r>
    </w:p>
    <w:p>
      <w:pPr>
        <w:spacing w:after="40"/>
        <w:ind w:left="420"/>
      </w:pPr>
      <w:r>
        <w:t>（1）按订单日期或回款日期归属政策版本，而非发货日期；</w:t>
      </w:r>
    </w:p>
    <w:p>
      <w:pPr>
        <w:spacing w:after="40"/>
        <w:ind w:left="420"/>
      </w:pPr>
      <w:r>
        <w:t>（2）采信2023-03-10会议纪要，把V2执行时点误定为4月1日；</w:t>
      </w:r>
    </w:p>
    <w:p>
      <w:pPr>
        <w:spacing w:after="40"/>
        <w:ind w:left="420"/>
      </w:pPr>
      <w:r>
        <w:t>（3）V3未除以1.13，或未把坏账核销作为负事件扣减；</w:t>
      </w:r>
    </w:p>
    <w:p>
      <w:pPr>
        <w:spacing w:after="40"/>
        <w:ind w:left="420"/>
      </w:pPr>
      <w:r>
        <w:t>（4）V2漏算单笔累计超500万元部分的5%费率；</w:t>
      </w:r>
    </w:p>
    <w:p>
      <w:pPr>
        <w:spacing w:after="40"/>
        <w:ind w:left="420"/>
      </w:pPr>
      <w:r>
        <w:t>（5）封顶按年度或按单计算，或把超出部分结转次月；</w:t>
      </w:r>
    </w:p>
    <w:p>
      <w:pPr>
        <w:spacing w:after="40"/>
        <w:ind w:left="420"/>
      </w:pPr>
      <w:r>
        <w:t>（6）离职人员次月及以后回款仍计提；</w:t>
      </w:r>
    </w:p>
    <w:p>
      <w:pPr>
        <w:spacing w:after="40"/>
        <w:ind w:left="420"/>
      </w:pPr>
      <w:r>
        <w:t>（7）2024年起合作单未按70:30拆分；</w:t>
      </w:r>
    </w:p>
    <w:p>
      <w:pPr>
        <w:spacing w:after="40"/>
        <w:ind w:left="420"/>
      </w:pPr>
      <w:r>
        <w:t>（8）新人保底按12个月发放，或未限定“前3个自然月”；</w:t>
      </w:r>
    </w:p>
    <w:p>
      <w:pPr>
        <w:spacing w:after="40"/>
        <w:ind w:left="420"/>
      </w:pPr>
      <w:r>
        <w:t>（9）团队池按人头平均发放，或未达标团队也发放；</w:t>
      </w:r>
    </w:p>
    <w:p>
      <w:pPr>
        <w:spacing w:after="40"/>
        <w:ind w:left="420"/>
      </w:pPr>
      <w:r>
        <w:t>（10）渠道返利未套阶梯、漏掉保底孰高，或把2025年度提前结算；</w:t>
      </w:r>
    </w:p>
    <w:p>
      <w:pPr>
        <w:spacing w:after="40"/>
        <w:ind w:left="420"/>
      </w:pPr>
      <w:r>
        <w:t>（11）直接用已发台账作为应发，未逐人判断应补/应追回；</w:t>
      </w:r>
    </w:p>
    <w:p>
      <w:pPr>
        <w:spacing w:after="40"/>
        <w:ind w:left="420"/>
      </w:pPr>
      <w:r>
        <w:t>（12）争议按申诉金额全额支持，未回到逐单清算结果。</w:t>
      </w:r>
    </w:p>
    <w:p>
      <w:pPr>
        <w:spacing w:before="240" w:after="120"/>
      </w:pPr>
      <w:r>
        <w:rPr>
          <w:b/>
          <w:sz w:val="30"/>
        </w:rPr>
        <w:t>五、评分标准（满分100）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评分块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对应考点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b/>
                <w:sz w:val="18"/>
              </w:rPr>
              <w:t>给分要点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订单清算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A1-C4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去重、归属、三版基数与费率、合作单拆分逐单正确；按单抽查与全量勾稽结合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人员汇总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D1-D3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封顶按月、保底限3个月、逐人差额方向正确、合计与逐单一致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团队池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达成率判定与可发/留存划分正确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渠道返利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160行全覆盖、阶梯与保底孰高、年度口径正确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争议裁决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逐件有结论与依据，金额可回溯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错误要求驳回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12项全覆盖，依据条款准确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新方案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参数完整自洽、回测口径一致、增幅≤15%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敏感性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9组齐全、逐人重算、方向合理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勾稽与结论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20项闭合、结论数字与明细一致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sz w:val="30"/>
        </w:rPr>
        <w:t>六、交付与命名</w:t>
      </w:r>
    </w:p>
    <w:p>
      <w:pPr>
        <w:spacing w:after="80" w:line="324" w:lineRule="auto"/>
        <w:ind w:firstLine="420"/>
      </w:pPr>
      <w:r>
        <w:rPr>
          <w:b w:val="0"/>
        </w:rPr>
        <w:t>题目正文：销售佣金清算_v1_题目.docx；输入附件6包、标准答案6包，均按“序号+包名.rar”命名，包内工作表名与题目“交付物”一节完全一致。答题方须保持包名、表名、列名不变，仅填充数据与结论。所有金额单位为人民币元、保留两位小数；比例保留两位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睿联工业设备有限公司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薪酬与激励项目组</dc:creator>
  <cp:lastModifiedBy>薪酬与激励项目组</cp:lastModifiedBy>
  <dcterms:created xsi:type="dcterms:W3CDTF">2025-09-08T01:30:00Z</dcterms:created>
  <dcterms:modified xsi:type="dcterms:W3CDTF">2025-09-10T07:20:00Z</dcterms:modified>
</cp:coreProperties>
</file>