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项目供应商管理制度</w:t>
      </w:r>
    </w:p>
    <w:p>
      <w:pPr>
        <w:pStyle w:val="Heading2"/>
      </w:pPr>
      <w:r>
        <w:t>【第一章 总则】</w:t>
      </w:r>
    </w:p>
    <w:p>
      <w:pPr>
        <w:ind w:firstLine="480"/>
      </w:pPr>
      <w:r>
        <w:t>为规范供应商管理，制定本制度。</w:t>
      </w:r>
    </w:p>
    <w:p>
      <w:pPr>
        <w:pStyle w:val="Heading2"/>
      </w:pPr>
      <w:r>
        <w:t>【第二章 资质审查】</w:t>
      </w:r>
    </w:p>
    <w:p>
      <w:pPr>
        <w:ind w:firstLine="480"/>
      </w:pPr>
      <w:r>
        <w:t>供应商须提供有效营业执照、资质证书，审查合格后方可合作。</w:t>
      </w:r>
    </w:p>
    <w:p>
      <w:pPr>
        <w:pStyle w:val="Heading2"/>
      </w:pPr>
      <w:r>
        <w:t>【第三章 绩效评价】</w:t>
      </w:r>
    </w:p>
    <w:p>
      <w:pPr>
        <w:ind w:firstLine="480"/>
      </w:pPr>
      <w:r>
        <w:t>每季度对供应商进行绩效评价，不合格供应商须淘汰。</w:t>
      </w:r>
    </w:p>
    <w:p>
      <w:pPr>
        <w:pStyle w:val="Heading2"/>
      </w:pPr>
      <w:r>
        <w:t>【存在问题】</w:t>
      </w:r>
    </w:p>
    <w:p>
      <w:pPr>
        <w:ind w:firstLine="480"/>
      </w:pPr>
      <w:r>
        <w:t>制度未建立供应商黑名单机制。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