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项目财务管理制度</w:t>
      </w:r>
    </w:p>
    <w:p>
      <w:pPr>
        <w:pStyle w:val="Heading2"/>
      </w:pPr>
      <w:r>
        <w:t>【第一章 总则】</w:t>
      </w:r>
    </w:p>
    <w:p>
      <w:pPr>
        <w:ind w:firstLine="480"/>
      </w:pPr>
      <w:r>
        <w:t>为规范项目资金使用，制定本制度。</w:t>
      </w:r>
    </w:p>
    <w:p>
      <w:pPr>
        <w:pStyle w:val="Heading2"/>
      </w:pPr>
      <w:r>
        <w:t>【第二章 审批权限】</w:t>
      </w:r>
    </w:p>
    <w:p>
      <w:pPr>
        <w:ind w:firstLine="480"/>
      </w:pPr>
      <w:r>
        <w:t>单笔支付超过50万元须财务总监审批，超过200万元须总经理审批。</w:t>
      </w:r>
    </w:p>
    <w:p>
      <w:pPr>
        <w:pStyle w:val="Heading2"/>
      </w:pPr>
      <w:r>
        <w:t>【第三章 专项资金】</w:t>
      </w:r>
    </w:p>
    <w:p>
      <w:pPr>
        <w:ind w:firstLine="480"/>
      </w:pPr>
      <w:r>
        <w:t>项目资金须专款专用，不得挪用。</w:t>
      </w:r>
    </w:p>
    <w:p>
      <w:pPr>
        <w:pStyle w:val="Heading2"/>
      </w:pPr>
      <w:r>
        <w:t>【存在问题】</w:t>
      </w:r>
    </w:p>
    <w:p>
      <w:pPr>
        <w:ind w:firstLine="480"/>
      </w:pPr>
      <w:r>
        <w:t>制度未建立无审批支付的追责机制。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