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项目验收管理制度</w:t>
      </w:r>
    </w:p>
    <w:p>
      <w:pPr>
        <w:pStyle w:val="Heading2"/>
      </w:pPr>
      <w:r>
        <w:t>【第一章 总则】</w:t>
      </w:r>
    </w:p>
    <w:p>
      <w:pPr>
        <w:ind w:firstLine="480"/>
      </w:pPr>
      <w:r>
        <w:t>为规范项目交付物验收，制定本制度。</w:t>
      </w:r>
    </w:p>
    <w:p>
      <w:pPr>
        <w:pStyle w:val="Heading2"/>
      </w:pPr>
      <w:r>
        <w:t>【第二章 验收标准】</w:t>
      </w:r>
    </w:p>
    <w:p>
      <w:pPr>
        <w:ind w:firstLine="480"/>
      </w:pPr>
      <w:r>
        <w:t>交付物须经功能测试、性能测试、安全测试合格后方可验收。</w:t>
      </w:r>
    </w:p>
    <w:p>
      <w:pPr>
        <w:pStyle w:val="Heading2"/>
      </w:pPr>
      <w:r>
        <w:t>【第三章 验收流程】</w:t>
      </w:r>
    </w:p>
    <w:p>
      <w:pPr>
        <w:ind w:firstLine="480"/>
      </w:pPr>
      <w:r>
        <w:t>验收须由测试团队出具测试报告，项目经理签字确认。</w:t>
      </w:r>
    </w:p>
    <w:p>
      <w:pPr>
        <w:pStyle w:val="Heading2"/>
      </w:pPr>
      <w:r>
        <w:t>【存在问题】</w:t>
      </w:r>
    </w:p>
    <w:p>
      <w:pPr>
        <w:ind w:firstLine="480"/>
      </w:pPr>
      <w:r>
        <w:t>制度未建立虚假验收的追责机制。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