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240" w:after="80"/>
        <w:ind w:firstLine="0"/>
        <w:jc w:val="center"/>
        <w:rPr>
          <w:rFonts w:ascii="Times New Roman" w:hAnsi="Times New Roman" w:eastAsia="黑体"/>
          <w:b/>
          <w:sz w:val="30"/>
        </w:rPr>
      </w:pPr>
      <w:r>
        <w:rPr>
          <w:rFonts w:ascii="Times New Roman" w:hAnsi="Times New Roman" w:eastAsia="黑体"/>
          <w:b/>
          <w:sz w:val="30"/>
        </w:rPr>
        <w:t>基于关键点几何表征与几何主导融合的</w:t>
      </w:r>
    </w:p>
    <w:p>
      <w:pPr>
        <w:pStyle w:val="2"/>
        <w:spacing w:before="240" w:after="80"/>
        <w:ind w:firstLine="0"/>
        <w:jc w:val="center"/>
      </w:pPr>
      <w:r>
        <w:rPr>
          <w:rFonts w:ascii="Times New Roman" w:hAnsi="Times New Roman" w:eastAsia="黑体"/>
          <w:b/>
          <w:sz w:val="30"/>
        </w:rPr>
        <w:t>ISAR图像GSD估计方法研究</w:t>
      </w:r>
    </w:p>
    <w:p>
      <w:pPr>
        <w:spacing w:before="0" w:after="0" w:line="360" w:lineRule="auto"/>
        <w:ind w:firstLine="0"/>
      </w:pPr>
      <w:r>
        <w:rPr>
          <w:rFonts w:ascii="Times New Roman" w:hAnsi="Times New Roman" w:eastAsia="宋体"/>
          <w:b/>
          <w:sz w:val="24"/>
        </w:rPr>
        <w:t>摘要：</w:t>
      </w:r>
      <w:r>
        <w:rPr>
          <w:rFonts w:ascii="Times New Roman" w:hAnsi="Times New Roman" w:eastAsia="宋体"/>
          <w:sz w:val="24"/>
        </w:rPr>
        <w:t>逆合成孔径雷达（ISAR）图像能够反映空间目标的散射结构与几何投影信息，但在不同分辨率条件下，目标尺度变化会导致地面采样距离（GSD）估计存在明显困难。特别是在训练集中未出现的GSD档位上，单纯依赖卷积网络回归或热力图估计容易受到已见分辨率分布的影响，导致未见GSD泛化能力不足。针对上述问题，本文拟构建一种关键点几何表征与多分支融合相结合的ISAR图像GSD估计框架。该框架以共享特征提取网络为基础，同时引入GSD回归分支、x方向热力图估计分支、GSD分类辅助分支、卫星类别与姿态辅助分支以及关键点几何估计分支。其中，几何分支通过关键点引导的结构尺度信息提取目标的几何跨度、主轴长度和长宽比例等特征，用于缓解学习型分支在未见GSD上的过拟合问题。在融合策略方面，本文重点比较了纯回归网络、热力图估计、纯几何估计、旧版可靠性融合、固定几何主导融合以及已见感知动态几何融合等多种方案。实验结果表明，学习型分支在已见GSD上表现较好，而几何分支在未见GSD上具有更强泛化能力；当采用“几何分支90% + net-hm学习型主线10%”的几何主导融合时，未见GSD准确率达到0.8781，显著优于5.28主线的0.7202。该结果说明，面向未见分辨率的ISAR图像GSD估计应从学习型分支主导转向几何分支主导。</w:t>
      </w:r>
    </w:p>
    <w:p>
      <w:pPr>
        <w:spacing w:before="0" w:after="0" w:line="360" w:lineRule="auto"/>
        <w:ind w:firstLine="0"/>
      </w:pPr>
      <w:r>
        <w:rPr>
          <w:rFonts w:ascii="Times New Roman" w:hAnsi="Times New Roman" w:eastAsia="宋体"/>
          <w:b/>
          <w:sz w:val="24"/>
        </w:rPr>
        <w:t>关键词</w:t>
      </w:r>
      <w:r>
        <w:rPr>
          <w:rFonts w:ascii="Times New Roman" w:hAnsi="Times New Roman" w:eastAsia="宋体"/>
          <w:sz w:val="24"/>
        </w:rPr>
        <w:t>：ISAR图像、GSD估计、未见分辨率、关键点几何表征、多分支融合、几何主导融合</w:t>
      </w:r>
    </w:p>
    <w:p>
      <w:pPr>
        <w:spacing w:line="240" w:lineRule="auto"/>
        <w:ind w:firstLine="0"/>
      </w:pPr>
    </w:p>
    <w:p>
      <w:pPr>
        <w:pStyle w:val="2"/>
        <w:spacing w:before="240" w:after="80"/>
        <w:ind w:firstLine="0"/>
        <w:jc w:val="left"/>
      </w:pPr>
      <w:r>
        <w:rPr>
          <w:rFonts w:ascii="Times New Roman" w:hAnsi="Times New Roman" w:eastAsia="黑体"/>
          <w:b/>
          <w:sz w:val="30"/>
        </w:rPr>
        <w:t>1引言</w:t>
      </w:r>
    </w:p>
    <w:p>
      <w:pPr>
        <w:spacing w:before="0" w:after="0" w:line="360" w:lineRule="auto"/>
        <w:ind w:firstLine="480"/>
      </w:pPr>
      <w:r>
        <w:rPr>
          <w:rFonts w:ascii="Times New Roman" w:hAnsi="Times New Roman" w:eastAsia="宋体"/>
          <w:sz w:val="24"/>
        </w:rPr>
        <w:t>空间目标ISAR图像能够在全天时、全天候条件下反映目标的电磁散射结构，是空间目标识别、状态估计和精细化解译的重要数据来源。在空间目标成像过程中，图像分辨率和地面采样距离会直接影响目标在图像中的投影尺度。当GSD发生变化时，目标沿特定方向的像素跨度也会随之变化，因此从ISAR图像中估计GSD对于后续目标识别、尺度归一化、跨分辨率分析等任务具有重要意义。</w:t>
      </w:r>
    </w:p>
    <w:p>
      <w:pPr>
        <w:spacing w:before="0" w:after="0" w:line="360" w:lineRule="auto"/>
        <w:ind w:firstLine="480"/>
      </w:pPr>
      <w:r>
        <w:rPr>
          <w:rFonts w:ascii="Times New Roman" w:hAnsi="Times New Roman" w:eastAsia="宋体"/>
          <w:sz w:val="24"/>
        </w:rPr>
        <w:t>现有基于深度学习的GSD估计方法通常依赖卷积网络直接回归GSD，或者利用热力图等学习型分支捕获尺度变化线索。这类方法在训练集中出现过的分辨率档位上通常具有较好效果，但在未见GSD条件下容易受到已见档位分布的影响。例如，当训练集中包含0.10和0.20而不包含0.15时，模型可能倾向于将0.15样本预测到相邻已见档位附近，从而导致未见GSD估计准确率下降。</w:t>
      </w:r>
    </w:p>
    <w:p>
      <w:pPr>
        <w:spacing w:before="0" w:after="0" w:line="360" w:lineRule="auto"/>
        <w:ind w:firstLine="480"/>
      </w:pPr>
      <w:r>
        <w:rPr>
          <w:rFonts w:ascii="Times New Roman" w:hAnsi="Times New Roman" w:eastAsia="宋体"/>
          <w:sz w:val="24"/>
        </w:rPr>
        <w:t>针对这一问题，本文的核心思路是引入目标几何结构信息。对于Aura和TG等空间目标，太阳帆板或主体结构在ISAR图像中具有相对稳定的几何投影关系。虽然关键点定位本身可能存在一定误差，但关键点热力图及其诱导的几何特征仍能提供目标整体尺度和结构跨度信息。因此，几何分支有望在未见GSD条件下提供比纯学习型分支更稳健的尺度依据。</w:t>
      </w:r>
    </w:p>
    <w:p>
      <w:pPr>
        <w:spacing w:before="0" w:after="0" w:line="360" w:lineRule="auto"/>
        <w:ind w:firstLine="480"/>
      </w:pPr>
      <w:r>
        <w:rPr>
          <w:rFonts w:ascii="Times New Roman" w:hAnsi="Times New Roman" w:eastAsia="宋体"/>
          <w:sz w:val="24"/>
        </w:rPr>
        <w:t>本文围绕ISAR图像未见GSD估计任务，构建多任务、多分支的GSD估计框架，并重点研究不同融合策略对已见和未见GSD估计性能的影响。实验结果显示，传统net-hm学习型主线在已见GSD上表现较强，而几何分支在未见GSD上具有明显优势。基于该观察，本文进一步提出几何主导融合策略，使最终预测更多依赖跨分辨率泛化能力更强的几何分支，同时保留学习型分支作为辅助校正。</w:t>
      </w:r>
    </w:p>
    <w:p>
      <w:pPr>
        <w:spacing w:before="0" w:after="0" w:line="360" w:lineRule="auto"/>
        <w:ind w:firstLine="480"/>
      </w:pPr>
      <w:r>
        <w:rPr>
          <w:rFonts w:ascii="Times New Roman" w:hAnsi="Times New Roman" w:eastAsia="宋体"/>
          <w:sz w:val="24"/>
        </w:rPr>
        <w:t>总的来说，本文的主要贡献如下：</w:t>
      </w:r>
    </w:p>
    <w:p>
      <w:pPr>
        <w:spacing w:before="0" w:after="0" w:line="360" w:lineRule="auto"/>
        <w:ind w:firstLine="480"/>
      </w:pPr>
      <w:r>
        <w:rPr>
          <w:rFonts w:ascii="Times New Roman" w:hAnsi="Times New Roman" w:eastAsia="宋体"/>
          <w:sz w:val="24"/>
        </w:rPr>
        <w:t>（1）提出一种面向ISAR图像未见GSD估计的多任务多分支框架，将GSD回归、GSD分类、卫星类别分类、姿态分类、热力图尺度估计和关键点几何估计统一到同一网络中。</w:t>
      </w:r>
    </w:p>
    <w:p>
      <w:pPr>
        <w:spacing w:before="0" w:after="0" w:line="360" w:lineRule="auto"/>
        <w:ind w:firstLine="480"/>
      </w:pPr>
      <w:r>
        <w:rPr>
          <w:rFonts w:ascii="Times New Roman" w:hAnsi="Times New Roman" w:eastAsia="宋体"/>
          <w:sz w:val="24"/>
        </w:rPr>
        <w:t>（2）引入关键点引导的几何尺度估计分支，通过目标结构跨度、主轴长度和长宽比等几何特征增强模型对未见分辨率的泛化能力。</w:t>
      </w:r>
    </w:p>
    <w:p>
      <w:pPr>
        <w:spacing w:before="0" w:after="0" w:line="360" w:lineRule="auto"/>
        <w:ind w:firstLine="480"/>
      </w:pPr>
      <w:r>
        <w:rPr>
          <w:rFonts w:ascii="Times New Roman" w:hAnsi="Times New Roman" w:eastAsia="宋体"/>
          <w:sz w:val="24"/>
        </w:rPr>
        <w:t>（3）系统比较多种融合策略，并提出几何主导融合思想。实验表明，在未见GSD条件下，几何主导融合显著优于传统主线和可靠性融合。</w:t>
      </w:r>
    </w:p>
    <w:p>
      <w:pPr>
        <w:spacing w:line="240" w:lineRule="auto"/>
        <w:ind w:firstLine="0"/>
      </w:pPr>
    </w:p>
    <w:p>
      <w:pPr>
        <w:pStyle w:val="2"/>
        <w:spacing w:before="240" w:after="80"/>
        <w:ind w:firstLine="0"/>
        <w:jc w:val="left"/>
      </w:pPr>
      <w:r>
        <w:rPr>
          <w:rFonts w:ascii="Times New Roman" w:hAnsi="Times New Roman" w:eastAsia="黑体"/>
          <w:b/>
          <w:sz w:val="30"/>
        </w:rPr>
        <w:t>2方法论</w:t>
      </w:r>
    </w:p>
    <w:p>
      <w:pPr>
        <w:ind w:firstLine="0"/>
        <w:jc w:val="center"/>
      </w:pPr>
    </w:p>
    <w:p>
      <w:pPr>
        <w:ind w:firstLine="0"/>
        <w:jc w:val="center"/>
        <w:rPr>
          <w:rFonts w:hint="eastAsia" w:eastAsia="宋体"/>
          <w:lang w:eastAsia="zh-CN"/>
        </w:rPr>
      </w:pPr>
      <w:r>
        <w:rPr>
          <w:rFonts w:hint="eastAsia" w:eastAsia="宋体"/>
          <w:lang w:eastAsia="zh-CN"/>
        </w:rPr>
        <w:drawing>
          <wp:inline distT="0" distB="0" distL="114300" distR="114300">
            <wp:extent cx="3608070" cy="2324100"/>
            <wp:effectExtent l="0" t="0" r="11430" b="0"/>
            <wp:docPr id="3" name="图片 3" descr="34a48ddd9dccd778e7285bb117ccf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4a48ddd9dccd778e7285bb117ccf766"/>
                    <pic:cNvPicPr>
                      <a:picLocks noChangeAspect="1"/>
                    </pic:cNvPicPr>
                  </pic:nvPicPr>
                  <pic:blipFill>
                    <a:blip r:embed="rId12"/>
                    <a:srcRect t="14109"/>
                    <a:stretch>
                      <a:fillRect/>
                    </a:stretch>
                  </pic:blipFill>
                  <pic:spPr>
                    <a:xfrm>
                      <a:off x="0" y="0"/>
                      <a:ext cx="3608070" cy="2324100"/>
                    </a:xfrm>
                    <a:prstGeom prst="rect">
                      <a:avLst/>
                    </a:prstGeom>
                  </pic:spPr>
                </pic:pic>
              </a:graphicData>
            </a:graphic>
          </wp:inline>
        </w:drawing>
      </w:r>
    </w:p>
    <w:p>
      <w:pPr>
        <w:ind w:firstLine="0"/>
        <w:jc w:val="center"/>
      </w:pPr>
      <w:r>
        <w:drawing>
          <wp:inline distT="0" distB="0" distL="114300" distR="114300">
            <wp:extent cx="4097655" cy="2610485"/>
            <wp:effectExtent l="0" t="0" r="17145"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rcRect t="15070"/>
                    <a:stretch>
                      <a:fillRect/>
                    </a:stretch>
                  </pic:blipFill>
                  <pic:spPr>
                    <a:xfrm>
                      <a:off x="0" y="0"/>
                      <a:ext cx="4097655" cy="2610485"/>
                    </a:xfrm>
                    <a:prstGeom prst="rect">
                      <a:avLst/>
                    </a:prstGeom>
                  </pic:spPr>
                </pic:pic>
              </a:graphicData>
            </a:graphic>
          </wp:inline>
        </w:drawing>
      </w:r>
    </w:p>
    <w:p>
      <w:pPr>
        <w:pStyle w:val="3"/>
        <w:spacing w:before="120" w:after="0" w:line="276" w:lineRule="auto"/>
        <w:ind w:firstLine="0"/>
        <w:jc w:val="left"/>
      </w:pPr>
      <w:r>
        <w:rPr>
          <w:rFonts w:ascii="Times New Roman" w:hAnsi="Times New Roman" w:eastAsia="黑体"/>
          <w:b/>
          <w:sz w:val="24"/>
        </w:rPr>
        <w:t>A. 整体网络框架</w:t>
      </w:r>
    </w:p>
    <w:p>
      <w:pPr>
        <w:spacing w:before="0" w:after="0" w:line="360" w:lineRule="auto"/>
        <w:ind w:firstLine="480"/>
      </w:pPr>
      <w:r>
        <w:rPr>
          <w:rFonts w:ascii="Times New Roman" w:hAnsi="Times New Roman" w:eastAsia="宋体"/>
          <w:sz w:val="24"/>
        </w:rPr>
        <w:t>本文拟构建的ISAR图像GSD估计网络由共享特征提取主干、多任务辅助分支、关键点几何分支和多分支融合模块组成。输入为单幅ISAR图像，首先通过Backbone提取全局视觉特征，随后分别送入多个任务分支进行GSD估计、卫星类型判断、姿态判断和关键点结构表征。</w:t>
      </w:r>
    </w:p>
    <w:p>
      <w:pPr>
        <w:spacing w:before="0" w:after="0" w:line="360" w:lineRule="auto"/>
        <w:ind w:firstLine="480"/>
      </w:pPr>
      <w:r>
        <w:rPr>
          <w:rFonts w:ascii="Times New Roman" w:hAnsi="Times New Roman" w:eastAsia="宋体"/>
          <w:sz w:val="24"/>
        </w:rPr>
        <w:t>与单一回归网络不同，本文框架并不只依赖一个预测头输出GSD，而是同时得到网络回归估计、热力图尺度估计和几何尺度估计三个结果。最终预测由融合模块根据不同分支的可靠性进行组合，从而兼顾已见GSD上的拟合能力和未见GSD上的泛化能力。</w:t>
      </w:r>
    </w:p>
    <w:p>
      <w:pPr>
        <w:pStyle w:val="3"/>
        <w:spacing w:before="120" w:after="0" w:line="276" w:lineRule="auto"/>
        <w:ind w:firstLine="0"/>
        <w:jc w:val="left"/>
      </w:pPr>
      <w:r>
        <w:rPr>
          <w:rFonts w:ascii="Times New Roman" w:hAnsi="Times New Roman" w:eastAsia="黑体"/>
          <w:b/>
          <w:sz w:val="24"/>
        </w:rPr>
        <w:t>B. 学习型GSD估计分支</w:t>
      </w:r>
    </w:p>
    <w:p>
      <w:pPr>
        <w:spacing w:before="0" w:after="0" w:line="360" w:lineRule="auto"/>
        <w:ind w:firstLine="480"/>
      </w:pPr>
      <w:r>
        <w:rPr>
          <w:rFonts w:ascii="Times New Roman" w:hAnsi="Times New Roman" w:eastAsia="宋体"/>
          <w:sz w:val="24"/>
        </w:rPr>
        <w:t>学习型GSD估计部分主要包括普通回归分支和x方向热力图分支。回归分支直接基于共享特征输出连续GSD值，能够充分利用深层语义特征进行尺度回归。热力图分支则从x方向结构变化角度捕获尺度线索，适合描述分辨率变化带来的横向投影差异。</w:t>
      </w:r>
    </w:p>
    <w:p>
      <w:pPr>
        <w:spacing w:before="0" w:after="0" w:line="360" w:lineRule="auto"/>
        <w:ind w:firstLine="480"/>
      </w:pPr>
      <w:r>
        <w:rPr>
          <w:rFonts w:ascii="Times New Roman" w:hAnsi="Times New Roman" w:eastAsia="宋体"/>
          <w:sz w:val="24"/>
        </w:rPr>
        <w:t>这两个分支在训练集出现过的GSD档位上通常表现较好，因此可作为已见GSD条件下的主要学习型尺度估计来源。但实验发现，在未见GSD条件下，学习型分支容易受到已见档位分布影响，存在向相邻已见GSD靠拢的趋势。</w:t>
      </w:r>
    </w:p>
    <w:p>
      <w:pPr>
        <w:pStyle w:val="3"/>
        <w:spacing w:before="120" w:after="0" w:line="276" w:lineRule="auto"/>
        <w:ind w:firstLine="0"/>
        <w:jc w:val="left"/>
      </w:pPr>
      <w:r>
        <w:rPr>
          <w:rFonts w:ascii="Times New Roman" w:hAnsi="Times New Roman" w:eastAsia="黑体"/>
          <w:b/>
          <w:sz w:val="24"/>
        </w:rPr>
        <w:t>C. 关键点几何估计分支</w:t>
      </w:r>
    </w:p>
    <w:p>
      <w:pPr>
        <w:spacing w:before="0" w:after="0" w:line="360" w:lineRule="auto"/>
        <w:ind w:firstLine="480"/>
      </w:pPr>
      <w:r>
        <w:rPr>
          <w:rFonts w:ascii="Times New Roman" w:hAnsi="Times New Roman" w:eastAsia="宋体"/>
          <w:sz w:val="24"/>
        </w:rPr>
        <w:t>关键点几何分支通过内部关键点检测头预测目标结构关键点，并进一步提取几何特征，如x方向跨度、y方向跨度、主轴长度、副轴长度和长宽比例等。对于Aura目标，关键点主要对应单个帆板结构的四个角；对于TG目标，关键点对应两个帆板结构的八个角。</w:t>
      </w:r>
    </w:p>
    <w:p>
      <w:pPr>
        <w:spacing w:before="0" w:after="0" w:line="360" w:lineRule="auto"/>
        <w:ind w:firstLine="480"/>
      </w:pPr>
      <w:r>
        <w:rPr>
          <w:rFonts w:ascii="Times New Roman" w:hAnsi="Times New Roman" w:eastAsia="宋体"/>
          <w:sz w:val="24"/>
        </w:rPr>
        <w:t>需要说明的是，本文几何分支并不单纯追求像素级关键点定位完全精确，而是更关注关键点热力图所提供的整体结构尺度表征。即使部分关键点编号或局部位置存在误差，几何分支仍可能从目标整体投影跨度中学习到与GSD相关的稳定尺度线索。</w:t>
      </w:r>
    </w:p>
    <w:p>
      <w:pPr>
        <w:pStyle w:val="3"/>
        <w:spacing w:before="120" w:after="0" w:line="276" w:lineRule="auto"/>
        <w:ind w:firstLine="0"/>
        <w:jc w:val="left"/>
      </w:pPr>
      <w:r>
        <w:rPr>
          <w:rFonts w:ascii="Times New Roman" w:hAnsi="Times New Roman" w:eastAsia="黑体"/>
          <w:b/>
          <w:sz w:val="24"/>
        </w:rPr>
        <w:t>D. 几何主导融合模块</w:t>
      </w:r>
    </w:p>
    <w:p>
      <w:pPr>
        <w:spacing w:before="0" w:after="0" w:line="360" w:lineRule="auto"/>
        <w:ind w:firstLine="480"/>
      </w:pPr>
      <w:r>
        <w:rPr>
          <w:rFonts w:ascii="Times New Roman" w:hAnsi="Times New Roman" w:eastAsia="宋体"/>
          <w:sz w:val="24"/>
        </w:rPr>
        <w:t>在前期可靠性融合中，模型更多以net/hm学习型分支为主线，几何分支通常只作为辅助参与融合。当几何估计与学习型主线不一致时，旧策略容易降低几何分支权重。然而在未见GSD条件下，实际情况可能恰好相反：学习型分支受到已见档位影响产生偏差，而几何分支反而更接近真实GSD。</w:t>
      </w:r>
    </w:p>
    <w:p>
      <w:pPr>
        <w:spacing w:before="0" w:after="0" w:line="360" w:lineRule="auto"/>
        <w:ind w:firstLine="480"/>
      </w:pPr>
      <w:r>
        <w:rPr>
          <w:rFonts w:ascii="Times New Roman" w:hAnsi="Times New Roman" w:eastAsia="宋体"/>
          <w:sz w:val="24"/>
        </w:rPr>
        <w:t>因此，本文提出几何主导融合思想。固定几何主导融合直接将几何分支设置为主要权重，例如“几何分支90% + net-hm学习型主线10%”。该策略结构简单，但实验表现稳定。进一步地，实验18探索了已见感知动态融合：当样本更像已见GSD时，适当提高学习型分支权重；当样本不像已见GSD或置信度较低时，提高几何分支权重。</w:t>
      </w:r>
    </w:p>
    <w:p>
      <w:pPr>
        <w:pStyle w:val="3"/>
        <w:spacing w:before="120" w:after="0" w:line="276" w:lineRule="auto"/>
        <w:ind w:firstLine="0"/>
        <w:jc w:val="left"/>
      </w:pPr>
      <w:r>
        <w:rPr>
          <w:rFonts w:ascii="Times New Roman" w:hAnsi="Times New Roman" w:eastAsia="黑体"/>
          <w:b/>
          <w:sz w:val="24"/>
        </w:rPr>
        <w:t>E. 损失函数与训练目标</w:t>
      </w:r>
    </w:p>
    <w:p>
      <w:pPr>
        <w:spacing w:before="0" w:after="0" w:line="360" w:lineRule="auto"/>
        <w:ind w:firstLine="480"/>
      </w:pPr>
      <w:r>
        <w:rPr>
          <w:rFonts w:ascii="Times New Roman" w:hAnsi="Times New Roman" w:eastAsia="宋体"/>
          <w:sz w:val="24"/>
        </w:rPr>
        <w:t>模型训练阶段采用多任务联合优化。主任务为GSD回归估计，同时引入GSD档位分类、卫星类别分类、姿态分类和关键点热力图监督等辅助任务。多任务监督能够帮助共享特征同时编码目标类别、姿态结构和尺度变化信息，从而提高GSD估计的稳定性。</w:t>
      </w:r>
    </w:p>
    <w:p>
      <w:pPr>
        <w:spacing w:before="0" w:after="0" w:line="360" w:lineRule="auto"/>
        <w:ind w:firstLine="480"/>
      </w:pPr>
      <w:r>
        <w:rPr>
          <w:rFonts w:ascii="Times New Roman" w:hAnsi="Times New Roman" w:eastAsia="宋体"/>
          <w:sz w:val="24"/>
        </w:rPr>
        <w:t>在融合策略比较中，本文重点关注不同分支组合对最终GSD估计结果的影响。因此，除主模型训练外，还设计了多个消融实验，包括纯回归网络、纯热力图分支、纯几何分支、旧版可靠性融合、固定几何主导融合以及已见感知动态几何融合。</w:t>
      </w:r>
    </w:p>
    <w:p>
      <w:pPr>
        <w:spacing w:line="240" w:lineRule="auto"/>
        <w:ind w:firstLine="0"/>
      </w:pPr>
    </w:p>
    <w:p>
      <w:pPr>
        <w:pStyle w:val="2"/>
        <w:spacing w:before="240" w:after="80"/>
        <w:ind w:firstLine="0"/>
        <w:jc w:val="left"/>
      </w:pPr>
      <w:r>
        <w:rPr>
          <w:rFonts w:ascii="Times New Roman" w:hAnsi="Times New Roman" w:eastAsia="黑体"/>
          <w:b/>
          <w:sz w:val="30"/>
        </w:rPr>
        <w:t>3实验结果与分析</w:t>
      </w:r>
    </w:p>
    <w:p>
      <w:pPr>
        <w:pStyle w:val="3"/>
        <w:spacing w:before="120" w:after="0" w:line="276" w:lineRule="auto"/>
        <w:ind w:firstLine="0"/>
        <w:jc w:val="left"/>
      </w:pPr>
      <w:r>
        <w:rPr>
          <w:rFonts w:ascii="Times New Roman" w:hAnsi="Times New Roman" w:eastAsia="黑体"/>
          <w:b/>
          <w:sz w:val="24"/>
        </w:rPr>
        <w:t>A. 实验设置与实施细节</w:t>
      </w:r>
    </w:p>
    <w:p>
      <w:pPr>
        <w:spacing w:before="0" w:after="0" w:line="360" w:lineRule="auto"/>
        <w:ind w:firstLine="480"/>
      </w:pPr>
      <w:r>
        <w:rPr>
          <w:rFonts w:ascii="Times New Roman" w:hAnsi="Times New Roman" w:eastAsia="宋体"/>
          <w:sz w:val="24"/>
        </w:rPr>
        <w:t>本文实验基于Aura和TG两类空间目标ISAR图像数据展开。数据集中包含多个姿态、多个时刻以及多个GSD档位。主要GSD档位包括0.05、0.10、0.15、0.20和0.25，其中实验重点将0.15设置为未见GSD，即训练阶段不使用该档位样本，而在测试阶段评估模型对该未见分辨率的估计能力。</w:t>
      </w:r>
    </w:p>
    <w:p>
      <w:pPr>
        <w:spacing w:before="0" w:after="0" w:line="360" w:lineRule="auto"/>
        <w:ind w:firstLine="480"/>
      </w:pPr>
      <w:r>
        <w:rPr>
          <w:rFonts w:ascii="Times New Roman" w:hAnsi="Times New Roman" w:eastAsia="宋体"/>
          <w:sz w:val="24"/>
        </w:rPr>
        <w:t>评价指标主要包括GSD最近档准确率和平均绝对误差。其中，已见测试集用于评估模型在训练出现过的GSD档位上的拟合能力；未见测试集用于评估模型在零样本GSD条件下的泛化能力。本文重点比较不同融合策略在已见和未见GSD上的性能差异。</w:t>
      </w:r>
    </w:p>
    <w:p>
      <w:pPr>
        <w:pStyle w:val="3"/>
        <w:spacing w:before="120" w:after="0" w:line="276" w:lineRule="auto"/>
        <w:ind w:firstLine="0"/>
        <w:jc w:val="left"/>
      </w:pPr>
      <w:r>
        <w:rPr>
          <w:rFonts w:ascii="Times New Roman" w:hAnsi="Times New Roman" w:eastAsia="黑体"/>
          <w:b/>
          <w:sz w:val="24"/>
        </w:rPr>
        <w:t>B. 结果与分析</w:t>
      </w:r>
    </w:p>
    <w:p>
      <w:pPr>
        <w:spacing w:before="0" w:after="0" w:line="360" w:lineRule="auto"/>
        <w:ind w:firstLine="480"/>
      </w:pPr>
      <w:r>
        <w:rPr>
          <w:rFonts w:ascii="Times New Roman" w:hAnsi="Times New Roman" w:eastAsia="宋体"/>
          <w:sz w:val="24"/>
        </w:rPr>
        <w:t>为验证不同分支和融合策略的作用，本文选取代表性实验进行对比。表I给出了重点实验在已见GSD和未见GSD上的准确率结果。</w:t>
      </w:r>
    </w:p>
    <w:p>
      <w:pPr>
        <w:spacing w:line="276" w:lineRule="auto"/>
        <w:ind w:firstLine="0"/>
        <w:jc w:val="center"/>
      </w:pPr>
      <w:r>
        <w:rPr>
          <w:rFonts w:ascii="Times New Roman" w:hAnsi="Times New Roman" w:eastAsia="宋体"/>
          <w:sz w:val="21"/>
        </w:rPr>
        <w:t>表I. 重点实验在已见与未见GSD上的准确率对比</w:t>
      </w:r>
    </w:p>
    <w:tbl>
      <w:tblPr>
        <w:tblStyle w:val="1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79"/>
        <w:gridCol w:w="3091"/>
        <w:gridCol w:w="1316"/>
        <w:gridCol w:w="131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pPr>
              <w:spacing w:line="240" w:lineRule="auto"/>
              <w:ind w:firstLine="0"/>
              <w:jc w:val="center"/>
            </w:pPr>
            <w:r>
              <w:rPr>
                <w:rFonts w:ascii="Times New Roman" w:hAnsi="Times New Roman" w:eastAsia="宋体"/>
                <w:b/>
                <w:sz w:val="17"/>
              </w:rPr>
              <w:t>实验编号</w:t>
            </w:r>
          </w:p>
        </w:tc>
        <w:tc>
          <w:tcPr>
            <w:tcW w:w="0" w:type="auto"/>
            <w:vAlign w:val="center"/>
          </w:tcPr>
          <w:p>
            <w:pPr>
              <w:spacing w:line="240" w:lineRule="auto"/>
              <w:ind w:firstLine="0"/>
              <w:jc w:val="center"/>
            </w:pPr>
            <w:r>
              <w:rPr>
                <w:rFonts w:ascii="Times New Roman" w:hAnsi="Times New Roman" w:eastAsia="宋体"/>
                <w:b/>
                <w:sz w:val="17"/>
              </w:rPr>
              <w:t>通俗含义</w:t>
            </w:r>
          </w:p>
        </w:tc>
        <w:tc>
          <w:tcPr>
            <w:tcW w:w="0" w:type="auto"/>
            <w:vAlign w:val="center"/>
          </w:tcPr>
          <w:p>
            <w:pPr>
              <w:spacing w:line="240" w:lineRule="auto"/>
              <w:ind w:firstLine="0"/>
              <w:jc w:val="center"/>
            </w:pPr>
            <w:r>
              <w:rPr>
                <w:rFonts w:ascii="Times New Roman" w:hAnsi="Times New Roman" w:eastAsia="宋体"/>
                <w:b/>
                <w:sz w:val="17"/>
              </w:rPr>
              <w:t>已见acc</w:t>
            </w:r>
          </w:p>
        </w:tc>
        <w:tc>
          <w:tcPr>
            <w:tcW w:w="0" w:type="auto"/>
            <w:vAlign w:val="center"/>
          </w:tcPr>
          <w:p>
            <w:pPr>
              <w:spacing w:line="240" w:lineRule="auto"/>
              <w:ind w:firstLine="0"/>
              <w:jc w:val="center"/>
            </w:pPr>
            <w:r>
              <w:rPr>
                <w:rFonts w:ascii="Times New Roman" w:hAnsi="Times New Roman" w:eastAsia="宋体"/>
                <w:b/>
                <w:sz w:val="17"/>
              </w:rPr>
              <w:t>未见acc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pPr>
              <w:spacing w:line="240" w:lineRule="auto"/>
              <w:ind w:firstLine="0"/>
              <w:jc w:val="center"/>
            </w:pPr>
            <w:r>
              <w:rPr>
                <w:rFonts w:ascii="Times New Roman" w:hAnsi="Times New Roman" w:eastAsia="宋体"/>
                <w:b w:val="0"/>
                <w:sz w:val="17"/>
              </w:rPr>
              <w:t>01</w:t>
            </w:r>
          </w:p>
        </w:tc>
        <w:tc>
          <w:tcPr>
            <w:tcW w:w="0" w:type="auto"/>
            <w:vAlign w:val="center"/>
          </w:tcPr>
          <w:p>
            <w:pPr>
              <w:spacing w:line="240" w:lineRule="auto"/>
              <w:ind w:firstLine="0"/>
              <w:jc w:val="center"/>
            </w:pPr>
            <w:r>
              <w:rPr>
                <w:rFonts w:ascii="Times New Roman" w:hAnsi="Times New Roman" w:eastAsia="宋体"/>
                <w:b w:val="0"/>
                <w:sz w:val="17"/>
              </w:rPr>
              <w:t>5.28主线：回归网络+热力图</w:t>
            </w:r>
          </w:p>
        </w:tc>
        <w:tc>
          <w:tcPr>
            <w:tcW w:w="0" w:type="auto"/>
            <w:vAlign w:val="center"/>
          </w:tcPr>
          <w:p>
            <w:pPr>
              <w:spacing w:line="240" w:lineRule="auto"/>
              <w:ind w:firstLine="0"/>
              <w:jc w:val="center"/>
            </w:pPr>
            <w:r>
              <w:rPr>
                <w:rFonts w:ascii="Times New Roman" w:hAnsi="Times New Roman" w:eastAsia="宋体"/>
                <w:b w:val="0"/>
                <w:sz w:val="17"/>
              </w:rPr>
              <w:t>0.9721</w:t>
            </w:r>
          </w:p>
        </w:tc>
        <w:tc>
          <w:tcPr>
            <w:tcW w:w="0" w:type="auto"/>
            <w:vAlign w:val="center"/>
          </w:tcPr>
          <w:p>
            <w:pPr>
              <w:spacing w:line="240" w:lineRule="auto"/>
              <w:ind w:firstLine="0"/>
              <w:jc w:val="center"/>
            </w:pPr>
            <w:r>
              <w:rPr>
                <w:rFonts w:ascii="Times New Roman" w:hAnsi="Times New Roman" w:eastAsia="宋体"/>
                <w:b w:val="0"/>
                <w:sz w:val="17"/>
              </w:rPr>
              <w:t>0.7202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pPr>
              <w:spacing w:line="240" w:lineRule="auto"/>
              <w:ind w:firstLine="0"/>
              <w:jc w:val="center"/>
            </w:pPr>
            <w:r>
              <w:rPr>
                <w:rFonts w:ascii="Times New Roman" w:hAnsi="Times New Roman" w:eastAsia="宋体"/>
                <w:b w:val="0"/>
                <w:sz w:val="17"/>
              </w:rPr>
              <w:t>02</w:t>
            </w:r>
          </w:p>
        </w:tc>
        <w:tc>
          <w:tcPr>
            <w:tcW w:w="0" w:type="auto"/>
            <w:vAlign w:val="center"/>
          </w:tcPr>
          <w:p>
            <w:pPr>
              <w:spacing w:line="240" w:lineRule="auto"/>
              <w:ind w:firstLine="0"/>
              <w:jc w:val="center"/>
            </w:pPr>
            <w:r>
              <w:rPr>
                <w:rFonts w:ascii="Times New Roman" w:hAnsi="Times New Roman" w:eastAsia="宋体"/>
                <w:b w:val="0"/>
                <w:sz w:val="17"/>
              </w:rPr>
              <w:t>纯回归网络</w:t>
            </w:r>
          </w:p>
        </w:tc>
        <w:tc>
          <w:tcPr>
            <w:tcW w:w="0" w:type="auto"/>
            <w:vAlign w:val="center"/>
          </w:tcPr>
          <w:p>
            <w:pPr>
              <w:spacing w:line="240" w:lineRule="auto"/>
              <w:ind w:firstLine="0"/>
              <w:jc w:val="center"/>
            </w:pPr>
            <w:r>
              <w:rPr>
                <w:rFonts w:ascii="Times New Roman" w:hAnsi="Times New Roman" w:eastAsia="宋体"/>
                <w:b w:val="0"/>
                <w:sz w:val="17"/>
              </w:rPr>
              <w:t>0.9596</w:t>
            </w:r>
          </w:p>
        </w:tc>
        <w:tc>
          <w:tcPr>
            <w:tcW w:w="0" w:type="auto"/>
            <w:vAlign w:val="center"/>
          </w:tcPr>
          <w:p>
            <w:pPr>
              <w:spacing w:line="240" w:lineRule="auto"/>
              <w:ind w:firstLine="0"/>
              <w:jc w:val="center"/>
            </w:pPr>
            <w:r>
              <w:rPr>
                <w:rFonts w:ascii="Times New Roman" w:hAnsi="Times New Roman" w:eastAsia="宋体"/>
                <w:b w:val="0"/>
                <w:sz w:val="17"/>
              </w:rPr>
              <w:t>0.7452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pPr>
              <w:spacing w:line="240" w:lineRule="auto"/>
              <w:ind w:firstLine="0"/>
              <w:jc w:val="center"/>
            </w:pPr>
            <w:r>
              <w:rPr>
                <w:rFonts w:ascii="Times New Roman" w:hAnsi="Times New Roman" w:eastAsia="宋体"/>
                <w:b w:val="0"/>
                <w:sz w:val="17"/>
              </w:rPr>
              <w:t>03</w:t>
            </w:r>
          </w:p>
        </w:tc>
        <w:tc>
          <w:tcPr>
            <w:tcW w:w="0" w:type="auto"/>
            <w:vAlign w:val="center"/>
          </w:tcPr>
          <w:p>
            <w:pPr>
              <w:spacing w:line="240" w:lineRule="auto"/>
              <w:ind w:firstLine="0"/>
              <w:jc w:val="center"/>
            </w:pPr>
            <w:r>
              <w:rPr>
                <w:rFonts w:ascii="Times New Roman" w:hAnsi="Times New Roman" w:eastAsia="宋体"/>
                <w:b w:val="0"/>
                <w:sz w:val="17"/>
              </w:rPr>
              <w:t>纯热力图分支</w:t>
            </w:r>
          </w:p>
        </w:tc>
        <w:tc>
          <w:tcPr>
            <w:tcW w:w="0" w:type="auto"/>
            <w:vAlign w:val="center"/>
          </w:tcPr>
          <w:p>
            <w:pPr>
              <w:spacing w:line="240" w:lineRule="auto"/>
              <w:ind w:firstLine="0"/>
              <w:jc w:val="center"/>
            </w:pPr>
            <w:r>
              <w:rPr>
                <w:rFonts w:ascii="Times New Roman" w:hAnsi="Times New Roman" w:eastAsia="宋体"/>
                <w:b w:val="0"/>
                <w:sz w:val="17"/>
              </w:rPr>
              <w:t>0.9596</w:t>
            </w:r>
          </w:p>
        </w:tc>
        <w:tc>
          <w:tcPr>
            <w:tcW w:w="0" w:type="auto"/>
            <w:vAlign w:val="center"/>
          </w:tcPr>
          <w:p>
            <w:pPr>
              <w:spacing w:line="240" w:lineRule="auto"/>
              <w:ind w:firstLine="0"/>
              <w:jc w:val="center"/>
            </w:pPr>
            <w:r>
              <w:rPr>
                <w:rFonts w:ascii="Times New Roman" w:hAnsi="Times New Roman" w:eastAsia="宋体"/>
                <w:b w:val="0"/>
                <w:sz w:val="17"/>
              </w:rPr>
              <w:t>0.6454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pPr>
              <w:spacing w:line="240" w:lineRule="auto"/>
              <w:ind w:firstLine="0"/>
              <w:jc w:val="center"/>
            </w:pPr>
            <w:r>
              <w:rPr>
                <w:rFonts w:ascii="Times New Roman" w:hAnsi="Times New Roman" w:eastAsia="宋体"/>
                <w:b w:val="0"/>
                <w:sz w:val="17"/>
              </w:rPr>
              <w:t>04</w:t>
            </w:r>
          </w:p>
        </w:tc>
        <w:tc>
          <w:tcPr>
            <w:tcW w:w="0" w:type="auto"/>
            <w:vAlign w:val="center"/>
          </w:tcPr>
          <w:p>
            <w:pPr>
              <w:spacing w:line="240" w:lineRule="auto"/>
              <w:ind w:firstLine="0"/>
              <w:jc w:val="center"/>
            </w:pPr>
            <w:r>
              <w:rPr>
                <w:rFonts w:ascii="Times New Roman" w:hAnsi="Times New Roman" w:eastAsia="宋体"/>
                <w:b w:val="0"/>
                <w:sz w:val="17"/>
              </w:rPr>
              <w:t>纯几何分支</w:t>
            </w:r>
          </w:p>
        </w:tc>
        <w:tc>
          <w:tcPr>
            <w:tcW w:w="0" w:type="auto"/>
            <w:vAlign w:val="center"/>
          </w:tcPr>
          <w:p>
            <w:pPr>
              <w:spacing w:line="240" w:lineRule="auto"/>
              <w:ind w:firstLine="0"/>
              <w:jc w:val="center"/>
            </w:pPr>
            <w:r>
              <w:rPr>
                <w:rFonts w:ascii="Times New Roman" w:hAnsi="Times New Roman" w:eastAsia="宋体"/>
                <w:b w:val="0"/>
                <w:sz w:val="17"/>
              </w:rPr>
              <w:t>0.9565</w:t>
            </w:r>
          </w:p>
        </w:tc>
        <w:tc>
          <w:tcPr>
            <w:tcW w:w="0" w:type="auto"/>
            <w:vAlign w:val="center"/>
          </w:tcPr>
          <w:p>
            <w:pPr>
              <w:spacing w:line="240" w:lineRule="auto"/>
              <w:ind w:firstLine="0"/>
              <w:jc w:val="center"/>
            </w:pPr>
            <w:r>
              <w:rPr>
                <w:rFonts w:ascii="Times New Roman" w:hAnsi="Times New Roman" w:eastAsia="宋体"/>
                <w:b w:val="0"/>
                <w:sz w:val="17"/>
              </w:rPr>
              <w:t>0.8560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pPr>
              <w:spacing w:line="240" w:lineRule="auto"/>
              <w:ind w:firstLine="0"/>
              <w:jc w:val="center"/>
            </w:pPr>
            <w:r>
              <w:rPr>
                <w:rFonts w:ascii="Times New Roman" w:hAnsi="Times New Roman" w:eastAsia="宋体"/>
                <w:b w:val="0"/>
                <w:sz w:val="17"/>
              </w:rPr>
              <w:t>06</w:t>
            </w:r>
          </w:p>
        </w:tc>
        <w:tc>
          <w:tcPr>
            <w:tcW w:w="0" w:type="auto"/>
            <w:vAlign w:val="center"/>
          </w:tcPr>
          <w:p>
            <w:pPr>
              <w:spacing w:line="240" w:lineRule="auto"/>
              <w:ind w:firstLine="0"/>
              <w:jc w:val="center"/>
            </w:pPr>
            <w:r>
              <w:rPr>
                <w:rFonts w:ascii="Times New Roman" w:hAnsi="Times New Roman" w:eastAsia="宋体"/>
                <w:b w:val="0"/>
                <w:sz w:val="17"/>
              </w:rPr>
              <w:t>几何分支90%+回归网络10%</w:t>
            </w:r>
          </w:p>
        </w:tc>
        <w:tc>
          <w:tcPr>
            <w:tcW w:w="0" w:type="auto"/>
            <w:vAlign w:val="center"/>
          </w:tcPr>
          <w:p>
            <w:pPr>
              <w:spacing w:line="240" w:lineRule="auto"/>
              <w:ind w:firstLine="0"/>
              <w:jc w:val="center"/>
            </w:pPr>
            <w:r>
              <w:rPr>
                <w:rFonts w:ascii="Times New Roman" w:hAnsi="Times New Roman" w:eastAsia="宋体"/>
                <w:b w:val="0"/>
                <w:sz w:val="17"/>
              </w:rPr>
              <w:t>0.9596</w:t>
            </w:r>
          </w:p>
        </w:tc>
        <w:tc>
          <w:tcPr>
            <w:tcW w:w="0" w:type="auto"/>
            <w:vAlign w:val="center"/>
          </w:tcPr>
          <w:p>
            <w:pPr>
              <w:spacing w:line="240" w:lineRule="auto"/>
              <w:ind w:firstLine="0"/>
              <w:jc w:val="center"/>
            </w:pPr>
            <w:r>
              <w:rPr>
                <w:rFonts w:ascii="Times New Roman" w:hAnsi="Times New Roman" w:eastAsia="宋体"/>
                <w:b w:val="0"/>
                <w:sz w:val="17"/>
              </w:rPr>
              <w:t>0.8795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pPr>
              <w:spacing w:line="240" w:lineRule="auto"/>
              <w:ind w:firstLine="0"/>
              <w:jc w:val="center"/>
            </w:pPr>
            <w:r>
              <w:rPr>
                <w:rFonts w:ascii="Times New Roman" w:hAnsi="Times New Roman" w:eastAsia="宋体"/>
                <w:b w:val="0"/>
                <w:sz w:val="17"/>
              </w:rPr>
              <w:t>11</w:t>
            </w:r>
          </w:p>
        </w:tc>
        <w:tc>
          <w:tcPr>
            <w:tcW w:w="0" w:type="auto"/>
            <w:vAlign w:val="center"/>
          </w:tcPr>
          <w:p>
            <w:pPr>
              <w:spacing w:line="240" w:lineRule="auto"/>
              <w:ind w:firstLine="0"/>
              <w:jc w:val="center"/>
            </w:pPr>
            <w:r>
              <w:rPr>
                <w:rFonts w:ascii="Times New Roman" w:hAnsi="Times New Roman" w:eastAsia="宋体"/>
                <w:b w:val="0"/>
                <w:sz w:val="17"/>
              </w:rPr>
              <w:t>旧版三分支融合，几何最多25%</w:t>
            </w:r>
          </w:p>
        </w:tc>
        <w:tc>
          <w:tcPr>
            <w:tcW w:w="0" w:type="auto"/>
            <w:vAlign w:val="center"/>
          </w:tcPr>
          <w:p>
            <w:pPr>
              <w:spacing w:line="240" w:lineRule="auto"/>
              <w:ind w:firstLine="0"/>
              <w:jc w:val="center"/>
            </w:pPr>
            <w:r>
              <w:rPr>
                <w:rFonts w:ascii="Times New Roman" w:hAnsi="Times New Roman" w:eastAsia="宋体"/>
                <w:b w:val="0"/>
                <w:sz w:val="17"/>
              </w:rPr>
              <w:t>0.9752</w:t>
            </w:r>
          </w:p>
        </w:tc>
        <w:tc>
          <w:tcPr>
            <w:tcW w:w="0" w:type="auto"/>
            <w:vAlign w:val="center"/>
          </w:tcPr>
          <w:p>
            <w:pPr>
              <w:spacing w:line="240" w:lineRule="auto"/>
              <w:ind w:firstLine="0"/>
              <w:jc w:val="center"/>
            </w:pPr>
            <w:r>
              <w:rPr>
                <w:rFonts w:ascii="Times New Roman" w:hAnsi="Times New Roman" w:eastAsia="宋体"/>
                <w:b w:val="0"/>
                <w:sz w:val="17"/>
              </w:rPr>
              <w:t>0.7230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pPr>
              <w:spacing w:line="240" w:lineRule="auto"/>
              <w:ind w:firstLine="0"/>
              <w:jc w:val="center"/>
            </w:pPr>
            <w:r>
              <w:rPr>
                <w:rFonts w:ascii="Times New Roman" w:hAnsi="Times New Roman" w:eastAsia="宋体"/>
                <w:b w:val="0"/>
                <w:sz w:val="17"/>
              </w:rPr>
              <w:t>14</w:t>
            </w:r>
          </w:p>
        </w:tc>
        <w:tc>
          <w:tcPr>
            <w:tcW w:w="0" w:type="auto"/>
            <w:vAlign w:val="center"/>
          </w:tcPr>
          <w:p>
            <w:pPr>
              <w:spacing w:line="240" w:lineRule="auto"/>
              <w:ind w:firstLine="0"/>
              <w:jc w:val="center"/>
            </w:pPr>
            <w:r>
              <w:rPr>
                <w:rFonts w:ascii="Times New Roman" w:hAnsi="Times New Roman" w:eastAsia="宋体"/>
                <w:b w:val="0"/>
                <w:sz w:val="17"/>
              </w:rPr>
              <w:t>几何分支80%+net-hm 20%</w:t>
            </w:r>
          </w:p>
        </w:tc>
        <w:tc>
          <w:tcPr>
            <w:tcW w:w="0" w:type="auto"/>
            <w:vAlign w:val="center"/>
          </w:tcPr>
          <w:p>
            <w:pPr>
              <w:spacing w:line="240" w:lineRule="auto"/>
              <w:ind w:firstLine="0"/>
              <w:jc w:val="center"/>
            </w:pPr>
            <w:r>
              <w:rPr>
                <w:rFonts w:ascii="Times New Roman" w:hAnsi="Times New Roman" w:eastAsia="宋体"/>
                <w:b w:val="0"/>
                <w:sz w:val="17"/>
              </w:rPr>
              <w:t>0.9596</w:t>
            </w:r>
          </w:p>
        </w:tc>
        <w:tc>
          <w:tcPr>
            <w:tcW w:w="0" w:type="auto"/>
            <w:vAlign w:val="center"/>
          </w:tcPr>
          <w:p>
            <w:pPr>
              <w:spacing w:line="240" w:lineRule="auto"/>
              <w:ind w:firstLine="0"/>
              <w:jc w:val="center"/>
            </w:pPr>
            <w:r>
              <w:rPr>
                <w:rFonts w:ascii="Times New Roman" w:hAnsi="Times New Roman" w:eastAsia="宋体"/>
                <w:b w:val="0"/>
                <w:sz w:val="17"/>
              </w:rPr>
              <w:t>0.8601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pPr>
              <w:spacing w:line="240" w:lineRule="auto"/>
              <w:ind w:firstLine="0"/>
              <w:jc w:val="center"/>
            </w:pPr>
            <w:r>
              <w:rPr>
                <w:rFonts w:ascii="Times New Roman" w:hAnsi="Times New Roman" w:eastAsia="宋体"/>
                <w:b w:val="0"/>
                <w:sz w:val="17"/>
              </w:rPr>
              <w:t>15</w:t>
            </w:r>
          </w:p>
        </w:tc>
        <w:tc>
          <w:tcPr>
            <w:tcW w:w="0" w:type="auto"/>
            <w:vAlign w:val="center"/>
          </w:tcPr>
          <w:p>
            <w:pPr>
              <w:spacing w:line="240" w:lineRule="auto"/>
              <w:ind w:firstLine="0"/>
              <w:jc w:val="center"/>
            </w:pPr>
            <w:r>
              <w:rPr>
                <w:rFonts w:ascii="Times New Roman" w:hAnsi="Times New Roman" w:eastAsia="宋体"/>
                <w:b w:val="0"/>
                <w:sz w:val="17"/>
              </w:rPr>
              <w:t>几何分支90%+net-hm 10%</w:t>
            </w:r>
          </w:p>
        </w:tc>
        <w:tc>
          <w:tcPr>
            <w:tcW w:w="0" w:type="auto"/>
            <w:vAlign w:val="center"/>
          </w:tcPr>
          <w:p>
            <w:pPr>
              <w:spacing w:line="240" w:lineRule="auto"/>
              <w:ind w:firstLine="0"/>
              <w:jc w:val="center"/>
            </w:pPr>
            <w:r>
              <w:rPr>
                <w:rFonts w:ascii="Times New Roman" w:hAnsi="Times New Roman" w:eastAsia="宋体"/>
                <w:b w:val="0"/>
                <w:sz w:val="17"/>
              </w:rPr>
              <w:t>0.9627</w:t>
            </w:r>
          </w:p>
        </w:tc>
        <w:tc>
          <w:tcPr>
            <w:tcW w:w="0" w:type="auto"/>
            <w:vAlign w:val="center"/>
          </w:tcPr>
          <w:p>
            <w:pPr>
              <w:spacing w:line="240" w:lineRule="auto"/>
              <w:ind w:firstLine="0"/>
              <w:jc w:val="center"/>
            </w:pPr>
            <w:r>
              <w:rPr>
                <w:rFonts w:ascii="Times New Roman" w:hAnsi="Times New Roman" w:eastAsia="宋体"/>
                <w:b w:val="0"/>
                <w:sz w:val="17"/>
              </w:rPr>
              <w:t>0.8781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0" w:type="auto"/>
            <w:vAlign w:val="center"/>
          </w:tcPr>
          <w:p>
            <w:pPr>
              <w:spacing w:line="240" w:lineRule="auto"/>
              <w:ind w:firstLine="0"/>
              <w:jc w:val="center"/>
            </w:pPr>
            <w:r>
              <w:rPr>
                <w:rFonts w:ascii="Times New Roman" w:hAnsi="Times New Roman" w:eastAsia="宋体"/>
                <w:b w:val="0"/>
                <w:sz w:val="17"/>
              </w:rPr>
              <w:t>18</w:t>
            </w:r>
          </w:p>
        </w:tc>
        <w:tc>
          <w:tcPr>
            <w:tcW w:w="0" w:type="auto"/>
            <w:vAlign w:val="center"/>
          </w:tcPr>
          <w:p>
            <w:pPr>
              <w:spacing w:line="240" w:lineRule="auto"/>
              <w:ind w:firstLine="0"/>
              <w:jc w:val="center"/>
            </w:pPr>
            <w:r>
              <w:rPr>
                <w:rFonts w:ascii="Times New Roman" w:hAnsi="Times New Roman" w:eastAsia="宋体"/>
                <w:b w:val="0"/>
                <w:sz w:val="17"/>
              </w:rPr>
              <w:t>动态几何融合</w:t>
            </w:r>
          </w:p>
        </w:tc>
        <w:tc>
          <w:tcPr>
            <w:tcW w:w="0" w:type="auto"/>
            <w:vAlign w:val="center"/>
          </w:tcPr>
          <w:p>
            <w:pPr>
              <w:spacing w:line="240" w:lineRule="auto"/>
              <w:ind w:firstLine="0"/>
              <w:jc w:val="center"/>
            </w:pPr>
            <w:r>
              <w:rPr>
                <w:rFonts w:ascii="Times New Roman" w:hAnsi="Times New Roman" w:eastAsia="宋体"/>
                <w:b w:val="0"/>
                <w:sz w:val="17"/>
              </w:rPr>
              <w:t>0.9627</w:t>
            </w:r>
          </w:p>
        </w:tc>
        <w:tc>
          <w:tcPr>
            <w:tcW w:w="0" w:type="auto"/>
            <w:vAlign w:val="center"/>
          </w:tcPr>
          <w:p>
            <w:pPr>
              <w:spacing w:line="240" w:lineRule="auto"/>
              <w:ind w:firstLine="0"/>
              <w:jc w:val="center"/>
            </w:pPr>
            <w:r>
              <w:rPr>
                <w:rFonts w:ascii="Times New Roman" w:hAnsi="Times New Roman" w:eastAsia="宋体"/>
                <w:b w:val="0"/>
                <w:sz w:val="17"/>
              </w:rPr>
              <w:t>0.8670</w:t>
            </w:r>
          </w:p>
        </w:tc>
      </w:tr>
    </w:tbl>
    <w:p/>
    <w:p>
      <w:pPr>
        <w:spacing w:before="0" w:after="0" w:line="360" w:lineRule="auto"/>
        <w:ind w:firstLine="480"/>
      </w:pPr>
      <w:r>
        <w:rPr>
          <w:rFonts w:ascii="Times New Roman" w:hAnsi="Times New Roman" w:eastAsia="宋体"/>
          <w:sz w:val="24"/>
        </w:rPr>
        <w:t>从表I可以看出，实验01和实验11在已见GSD上准确率较高，说明回归网络、热力图和旧版可靠性融合能够较好拟合训练中出现过的分辨率档位。然而，它们在未见GSD上的准确率均明显下降，说明学习型主线容易受到已见GSD分布的限制。</w:t>
      </w:r>
    </w:p>
    <w:p>
      <w:pPr>
        <w:spacing w:before="0" w:after="0" w:line="360" w:lineRule="auto"/>
        <w:ind w:firstLine="480"/>
      </w:pPr>
      <w:r>
        <w:rPr>
          <w:rFonts w:ascii="Times New Roman" w:hAnsi="Times New Roman" w:eastAsia="宋体"/>
          <w:sz w:val="24"/>
        </w:rPr>
        <w:t>相比之下，实验04的纯几何分支在未见GSD上达到0.8560，明显高于学习型主线。进一步提高几何分支在最终融合中的权重后，实验14、15和06在未见GSD上继续提升，其中实验15采用“几何分支90% + net-hm学习型主线10%”，未见准确率达到0.8781。该结果说明，几何结构信息对于未见分辨率估计具有更强泛化能力。</w:t>
      </w:r>
    </w:p>
    <w:p>
      <w:pPr>
        <w:spacing w:line="240" w:lineRule="auto"/>
        <w:ind w:firstLine="0"/>
      </w:pPr>
    </w:p>
    <w:p>
      <w:pPr>
        <w:pStyle w:val="2"/>
        <w:spacing w:before="240" w:after="80"/>
        <w:ind w:firstLine="0"/>
        <w:jc w:val="left"/>
      </w:pPr>
      <w:r>
        <w:rPr>
          <w:rFonts w:hint="eastAsia" w:ascii="Times New Roman" w:hAnsi="Times New Roman" w:eastAsia="黑体"/>
          <w:b/>
          <w:sz w:val="30"/>
          <w:lang w:val="en-US" w:eastAsia="zh-CN"/>
        </w:rPr>
        <w:t>4</w:t>
      </w:r>
      <w:r>
        <w:rPr>
          <w:rFonts w:ascii="Times New Roman" w:hAnsi="Times New Roman" w:eastAsia="黑体"/>
          <w:b/>
          <w:sz w:val="30"/>
        </w:rPr>
        <w:t>结论</w:t>
      </w:r>
    </w:p>
    <w:p>
      <w:pPr>
        <w:spacing w:before="0" w:after="0" w:line="360" w:lineRule="auto"/>
        <w:ind w:firstLine="480"/>
      </w:pPr>
      <w:r>
        <w:rPr>
          <w:rFonts w:ascii="Times New Roman" w:hAnsi="Times New Roman" w:eastAsia="宋体"/>
          <w:sz w:val="24"/>
        </w:rPr>
        <w:t>本文围绕ISAR图像未见GSD估计问题，设计了一种基于关键点几何表征与几何主导融合的多分支估计框架。通过对回归网络、热力图分支、几何分支以及多种融合策略的系统比较，本文发现学习型分支在已见GSD上具有较强拟合能力，但在未见GSD上泛化不足；几何分支虽然在已见GSD上略低于学习型主线，但在未见GSD上表现明显更稳定。</w:t>
      </w:r>
    </w:p>
    <w:p>
      <w:pPr>
        <w:spacing w:before="0" w:after="0" w:line="360" w:lineRule="auto"/>
        <w:ind w:firstLine="480"/>
      </w:pPr>
      <w:r>
        <w:rPr>
          <w:rFonts w:ascii="Times New Roman" w:hAnsi="Times New Roman" w:eastAsia="宋体"/>
          <w:sz w:val="24"/>
        </w:rPr>
        <w:t>实验结果表明，几何主导融合能够显著提升未见GSD估计准确率。特别是“几何分支90% + net-hm学习型主线10%”的固定融合策略，在未见GSD上取得0.8781的准确率，明显优于5.28主线和旧版三分支融合。该结果验证了几何结构信息在跨分辨率GSD估计中的重要作用。</w:t>
      </w:r>
    </w:p>
    <w:p>
      <w:pPr>
        <w:spacing w:before="0" w:after="0" w:line="360" w:lineRule="auto"/>
        <w:ind w:firstLine="480"/>
      </w:pPr>
      <w:r>
        <w:rPr>
          <w:rFonts w:ascii="Times New Roman" w:hAnsi="Times New Roman" w:eastAsia="宋体"/>
          <w:sz w:val="24"/>
        </w:rPr>
        <w:t>后续工作将从三个方面继续改进：第一，补充不同未见GSD档位的leave-one-GSD-out实验，以验证方法在更多未见分辨率上的稳定性；第二，改进关键点检测与点序规范化，降低几何特征误差；第三，优化已见置信度判断与动态权重映射，使动态几何融合在保持可解释性的同时进一步接近或超过固定几何主导融合。</w:t>
      </w:r>
    </w:p>
    <w:p>
      <w:pPr>
        <w:spacing w:line="240" w:lineRule="auto"/>
        <w:ind w:firstLine="0"/>
      </w:pPr>
    </w:p>
    <w:p>
      <w:pPr>
        <w:pStyle w:val="2"/>
        <w:spacing w:before="240" w:after="80"/>
        <w:ind w:firstLine="0"/>
        <w:jc w:val="left"/>
      </w:pPr>
      <w:r>
        <w:rPr>
          <w:rFonts w:hint="eastAsia" w:ascii="Times New Roman" w:hAnsi="Times New Roman" w:eastAsia="黑体"/>
          <w:b/>
          <w:sz w:val="30"/>
          <w:lang w:val="en-US" w:eastAsia="zh-CN"/>
        </w:rPr>
        <w:t>5</w:t>
      </w:r>
      <w:bookmarkStart w:id="0" w:name="_GoBack"/>
      <w:bookmarkEnd w:id="0"/>
      <w:r>
        <w:rPr>
          <w:rFonts w:ascii="Times New Roman" w:hAnsi="Times New Roman" w:eastAsia="黑体"/>
          <w:b/>
          <w:sz w:val="30"/>
        </w:rPr>
        <w:t>参考文献</w:t>
      </w:r>
    </w:p>
    <w:p>
      <w:pPr>
        <w:spacing w:before="0" w:after="0" w:line="360" w:lineRule="auto"/>
        <w:ind w:firstLine="0"/>
      </w:pPr>
      <w:r>
        <w:rPr>
          <w:rFonts w:ascii="Times New Roman" w:hAnsi="Times New Roman" w:eastAsia="宋体"/>
          <w:sz w:val="24"/>
        </w:rPr>
        <w:t>[1] Zhang Q, et al. Quality-aware Multimodal Fusion for Robust Perception. 2023.</w:t>
      </w:r>
    </w:p>
    <w:p>
      <w:pPr>
        <w:spacing w:before="0" w:after="0" w:line="360" w:lineRule="auto"/>
        <w:ind w:firstLine="0"/>
      </w:pPr>
      <w:r>
        <w:rPr>
          <w:rFonts w:ascii="Times New Roman" w:hAnsi="Times New Roman" w:eastAsia="宋体"/>
          <w:sz w:val="24"/>
        </w:rPr>
        <w:t>[2] Predictive Dynamic Fusion for Multimodal Learning. 2024.</w:t>
      </w:r>
    </w:p>
    <w:p>
      <w:pPr>
        <w:spacing w:before="0" w:after="0" w:line="360" w:lineRule="auto"/>
        <w:ind w:firstLine="0"/>
      </w:pPr>
      <w:r>
        <w:rPr>
          <w:rFonts w:ascii="Times New Roman" w:hAnsi="Times New Roman" w:eastAsia="宋体"/>
          <w:sz w:val="24"/>
        </w:rPr>
        <w:t>[3] Gao Y, et al. Embracing Unimodal Aleatoric Uncertainty for Robust Multimodal Fusion. CVPR, 2024.</w:t>
      </w:r>
    </w:p>
    <w:p>
      <w:pPr>
        <w:spacing w:before="0" w:after="0" w:line="360" w:lineRule="auto"/>
        <w:ind w:firstLine="0"/>
      </w:pPr>
      <w:r>
        <w:rPr>
          <w:rFonts w:ascii="Times New Roman" w:hAnsi="Times New Roman" w:eastAsia="宋体"/>
          <w:sz w:val="24"/>
        </w:rPr>
        <w:t>[4] Trustworthy Multimodal Regression with Mixture of Normal-Inverse Gamma. NeurIPS, 2021.</w:t>
      </w:r>
    </w:p>
    <w:p>
      <w:pPr>
        <w:spacing w:before="0" w:after="0" w:line="360" w:lineRule="auto"/>
        <w:ind w:firstLine="0"/>
      </w:pPr>
      <w:r>
        <w:rPr>
          <w:rFonts w:ascii="Times New Roman" w:hAnsi="Times New Roman" w:eastAsia="宋体"/>
          <w:sz w:val="24"/>
        </w:rPr>
        <w:t>[5] Newell A, Yang K, Deng J. Stacked Hourglass Networks for Human Pose Estimation. ECCV, 2016.</w:t>
      </w:r>
    </w:p>
    <w:p>
      <w:pPr>
        <w:spacing w:before="0" w:after="0" w:line="360" w:lineRule="auto"/>
        <w:ind w:firstLine="0"/>
      </w:pPr>
      <w:r>
        <w:rPr>
          <w:rFonts w:ascii="Times New Roman" w:hAnsi="Times New Roman" w:eastAsia="宋体"/>
          <w:sz w:val="24"/>
        </w:rPr>
        <w:t>[6] He K, Zhang X, Ren S, Sun J. Deep Residual Learning for Image Recognition. CVPR, 2016.</w:t>
      </w:r>
    </w:p>
    <w:p>
      <w:pPr>
        <w:spacing w:before="0" w:after="0" w:line="360" w:lineRule="auto"/>
        <w:ind w:firstLine="0"/>
      </w:pPr>
      <w:r>
        <w:rPr>
          <w:rFonts w:ascii="Times New Roman" w:hAnsi="Times New Roman" w:eastAsia="宋体"/>
          <w:sz w:val="24"/>
        </w:rPr>
        <w:t>[7] 后续根据导师意见补充ISAR图像解译、关键点检测、跨分辨率泛化与多任务学习相关文献。</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797" w:bottom="1440" w:left="1797" w:header="851" w:footer="992"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E4NmI3ZTkyMTdlMWJlMGQwZjYwNzM4NGZmYzA0NzEifQ=="/>
  </w:docVars>
  <w:rsids>
    <w:rsidRoot w:val="00B352D0"/>
    <w:rsid w:val="000002B9"/>
    <w:rsid w:val="00002276"/>
    <w:rsid w:val="00004E74"/>
    <w:rsid w:val="00006C82"/>
    <w:rsid w:val="00007783"/>
    <w:rsid w:val="00007C61"/>
    <w:rsid w:val="00007F84"/>
    <w:rsid w:val="000107A1"/>
    <w:rsid w:val="00010CA3"/>
    <w:rsid w:val="00021B99"/>
    <w:rsid w:val="00021D9C"/>
    <w:rsid w:val="0002208E"/>
    <w:rsid w:val="000274CC"/>
    <w:rsid w:val="00035592"/>
    <w:rsid w:val="00035C52"/>
    <w:rsid w:val="00035DD7"/>
    <w:rsid w:val="00037C0F"/>
    <w:rsid w:val="00037E06"/>
    <w:rsid w:val="00041FC9"/>
    <w:rsid w:val="0004502A"/>
    <w:rsid w:val="000455FD"/>
    <w:rsid w:val="000513B5"/>
    <w:rsid w:val="00052782"/>
    <w:rsid w:val="0005581E"/>
    <w:rsid w:val="00060368"/>
    <w:rsid w:val="00062B69"/>
    <w:rsid w:val="00062E83"/>
    <w:rsid w:val="00063939"/>
    <w:rsid w:val="00064DD4"/>
    <w:rsid w:val="00065FFC"/>
    <w:rsid w:val="0006740A"/>
    <w:rsid w:val="000712B8"/>
    <w:rsid w:val="00072E7D"/>
    <w:rsid w:val="00075E95"/>
    <w:rsid w:val="000822C4"/>
    <w:rsid w:val="00085D13"/>
    <w:rsid w:val="0009104F"/>
    <w:rsid w:val="000A07EC"/>
    <w:rsid w:val="000A1BBA"/>
    <w:rsid w:val="000A1D56"/>
    <w:rsid w:val="000A4660"/>
    <w:rsid w:val="000B5C39"/>
    <w:rsid w:val="000C19BE"/>
    <w:rsid w:val="000C5433"/>
    <w:rsid w:val="000C6E8B"/>
    <w:rsid w:val="000D0B16"/>
    <w:rsid w:val="000D23F2"/>
    <w:rsid w:val="000D2517"/>
    <w:rsid w:val="000E37E9"/>
    <w:rsid w:val="000E3E68"/>
    <w:rsid w:val="000E70D6"/>
    <w:rsid w:val="000F02D4"/>
    <w:rsid w:val="000F0A8D"/>
    <w:rsid w:val="000F2103"/>
    <w:rsid w:val="001001A2"/>
    <w:rsid w:val="00105EA5"/>
    <w:rsid w:val="00106BEB"/>
    <w:rsid w:val="00112B87"/>
    <w:rsid w:val="00113AC5"/>
    <w:rsid w:val="001145E8"/>
    <w:rsid w:val="00116017"/>
    <w:rsid w:val="00126B13"/>
    <w:rsid w:val="001277B1"/>
    <w:rsid w:val="0013243F"/>
    <w:rsid w:val="00133624"/>
    <w:rsid w:val="001342C7"/>
    <w:rsid w:val="00134A59"/>
    <w:rsid w:val="0014035C"/>
    <w:rsid w:val="00143D17"/>
    <w:rsid w:val="00147B00"/>
    <w:rsid w:val="001512DA"/>
    <w:rsid w:val="00151B03"/>
    <w:rsid w:val="001624C7"/>
    <w:rsid w:val="00162C6A"/>
    <w:rsid w:val="00164820"/>
    <w:rsid w:val="00164E11"/>
    <w:rsid w:val="0016754C"/>
    <w:rsid w:val="001710B3"/>
    <w:rsid w:val="00173807"/>
    <w:rsid w:val="00182D62"/>
    <w:rsid w:val="00184CAB"/>
    <w:rsid w:val="00184DFF"/>
    <w:rsid w:val="001872F8"/>
    <w:rsid w:val="00190FA4"/>
    <w:rsid w:val="00192360"/>
    <w:rsid w:val="00194D33"/>
    <w:rsid w:val="001A089D"/>
    <w:rsid w:val="001A275F"/>
    <w:rsid w:val="001A43EC"/>
    <w:rsid w:val="001A514B"/>
    <w:rsid w:val="001A5544"/>
    <w:rsid w:val="001A5ACD"/>
    <w:rsid w:val="001B26B3"/>
    <w:rsid w:val="001B2B90"/>
    <w:rsid w:val="001B316F"/>
    <w:rsid w:val="001B48BD"/>
    <w:rsid w:val="001B5C2C"/>
    <w:rsid w:val="001B600F"/>
    <w:rsid w:val="001C02ED"/>
    <w:rsid w:val="001C7C9E"/>
    <w:rsid w:val="001D4984"/>
    <w:rsid w:val="001E381F"/>
    <w:rsid w:val="001E6ED8"/>
    <w:rsid w:val="001F0412"/>
    <w:rsid w:val="001F460E"/>
    <w:rsid w:val="001F5EA4"/>
    <w:rsid w:val="001F6F00"/>
    <w:rsid w:val="00200309"/>
    <w:rsid w:val="002018D9"/>
    <w:rsid w:val="00203C18"/>
    <w:rsid w:val="00210604"/>
    <w:rsid w:val="0021308A"/>
    <w:rsid w:val="00214BC3"/>
    <w:rsid w:val="00215CF9"/>
    <w:rsid w:val="0021755B"/>
    <w:rsid w:val="0021768A"/>
    <w:rsid w:val="00220FFC"/>
    <w:rsid w:val="00221453"/>
    <w:rsid w:val="00223773"/>
    <w:rsid w:val="00236EDC"/>
    <w:rsid w:val="00242C88"/>
    <w:rsid w:val="002430AF"/>
    <w:rsid w:val="00245E33"/>
    <w:rsid w:val="00247E3B"/>
    <w:rsid w:val="002506DB"/>
    <w:rsid w:val="002516F4"/>
    <w:rsid w:val="002528CD"/>
    <w:rsid w:val="0025449B"/>
    <w:rsid w:val="002562DC"/>
    <w:rsid w:val="00256AB6"/>
    <w:rsid w:val="00257EA8"/>
    <w:rsid w:val="00261E02"/>
    <w:rsid w:val="002622EF"/>
    <w:rsid w:val="002642AD"/>
    <w:rsid w:val="002643FF"/>
    <w:rsid w:val="00271627"/>
    <w:rsid w:val="002721F4"/>
    <w:rsid w:val="002725CE"/>
    <w:rsid w:val="00273FC8"/>
    <w:rsid w:val="002744CD"/>
    <w:rsid w:val="0027525C"/>
    <w:rsid w:val="00276BA4"/>
    <w:rsid w:val="00282612"/>
    <w:rsid w:val="00282787"/>
    <w:rsid w:val="00282932"/>
    <w:rsid w:val="00285AB1"/>
    <w:rsid w:val="00285BAC"/>
    <w:rsid w:val="00287516"/>
    <w:rsid w:val="0029175E"/>
    <w:rsid w:val="00292466"/>
    <w:rsid w:val="00294839"/>
    <w:rsid w:val="002965D0"/>
    <w:rsid w:val="00296B45"/>
    <w:rsid w:val="002A0316"/>
    <w:rsid w:val="002A3AD3"/>
    <w:rsid w:val="002A79BF"/>
    <w:rsid w:val="002B5218"/>
    <w:rsid w:val="002B7B72"/>
    <w:rsid w:val="002C1AB2"/>
    <w:rsid w:val="002C240D"/>
    <w:rsid w:val="002C2D53"/>
    <w:rsid w:val="002C31BB"/>
    <w:rsid w:val="002C5921"/>
    <w:rsid w:val="002C6468"/>
    <w:rsid w:val="002D04A7"/>
    <w:rsid w:val="002D6814"/>
    <w:rsid w:val="002D7C89"/>
    <w:rsid w:val="002E1227"/>
    <w:rsid w:val="002E41F2"/>
    <w:rsid w:val="002E5F6E"/>
    <w:rsid w:val="002E6F0C"/>
    <w:rsid w:val="002E73A3"/>
    <w:rsid w:val="002F0716"/>
    <w:rsid w:val="002F152D"/>
    <w:rsid w:val="002F6710"/>
    <w:rsid w:val="002F697D"/>
    <w:rsid w:val="003030F7"/>
    <w:rsid w:val="00303BE4"/>
    <w:rsid w:val="003047A7"/>
    <w:rsid w:val="003056DC"/>
    <w:rsid w:val="00305BB5"/>
    <w:rsid w:val="00311D9A"/>
    <w:rsid w:val="00315385"/>
    <w:rsid w:val="003226E3"/>
    <w:rsid w:val="00322A33"/>
    <w:rsid w:val="003277CD"/>
    <w:rsid w:val="00327CC7"/>
    <w:rsid w:val="003346F5"/>
    <w:rsid w:val="00334A2D"/>
    <w:rsid w:val="00337F7D"/>
    <w:rsid w:val="00340BF5"/>
    <w:rsid w:val="0034620B"/>
    <w:rsid w:val="0034626D"/>
    <w:rsid w:val="003471A1"/>
    <w:rsid w:val="003509DF"/>
    <w:rsid w:val="00350CAF"/>
    <w:rsid w:val="00353F61"/>
    <w:rsid w:val="00362303"/>
    <w:rsid w:val="00362ECE"/>
    <w:rsid w:val="003631F5"/>
    <w:rsid w:val="00372071"/>
    <w:rsid w:val="00372778"/>
    <w:rsid w:val="003728A7"/>
    <w:rsid w:val="00381871"/>
    <w:rsid w:val="00383120"/>
    <w:rsid w:val="00385D98"/>
    <w:rsid w:val="00387D45"/>
    <w:rsid w:val="00392BC4"/>
    <w:rsid w:val="00393334"/>
    <w:rsid w:val="00395946"/>
    <w:rsid w:val="003A46F6"/>
    <w:rsid w:val="003A659B"/>
    <w:rsid w:val="003A7D93"/>
    <w:rsid w:val="003A7DDE"/>
    <w:rsid w:val="003B119A"/>
    <w:rsid w:val="003B160D"/>
    <w:rsid w:val="003B3DDE"/>
    <w:rsid w:val="003B6487"/>
    <w:rsid w:val="003C1874"/>
    <w:rsid w:val="003C7769"/>
    <w:rsid w:val="003C7CE1"/>
    <w:rsid w:val="003D0E34"/>
    <w:rsid w:val="003D1E49"/>
    <w:rsid w:val="003D3F94"/>
    <w:rsid w:val="003D5A00"/>
    <w:rsid w:val="003D6DFF"/>
    <w:rsid w:val="003D71A1"/>
    <w:rsid w:val="003D72A7"/>
    <w:rsid w:val="003E5C56"/>
    <w:rsid w:val="003F08BE"/>
    <w:rsid w:val="003F1665"/>
    <w:rsid w:val="003F1DB6"/>
    <w:rsid w:val="003F20D2"/>
    <w:rsid w:val="003F25F2"/>
    <w:rsid w:val="003F26AD"/>
    <w:rsid w:val="003F59C1"/>
    <w:rsid w:val="003F59C6"/>
    <w:rsid w:val="003F7002"/>
    <w:rsid w:val="0040064A"/>
    <w:rsid w:val="00407128"/>
    <w:rsid w:val="004101E3"/>
    <w:rsid w:val="00422078"/>
    <w:rsid w:val="0042495E"/>
    <w:rsid w:val="004307A4"/>
    <w:rsid w:val="00432A90"/>
    <w:rsid w:val="004374A6"/>
    <w:rsid w:val="00440314"/>
    <w:rsid w:val="00452C6C"/>
    <w:rsid w:val="0045680E"/>
    <w:rsid w:val="00462A95"/>
    <w:rsid w:val="004672B3"/>
    <w:rsid w:val="004712E2"/>
    <w:rsid w:val="004716F0"/>
    <w:rsid w:val="00474084"/>
    <w:rsid w:val="00474E60"/>
    <w:rsid w:val="00475A2B"/>
    <w:rsid w:val="004771E6"/>
    <w:rsid w:val="00480091"/>
    <w:rsid w:val="004920CF"/>
    <w:rsid w:val="004953C3"/>
    <w:rsid w:val="004A1B5A"/>
    <w:rsid w:val="004A2ABB"/>
    <w:rsid w:val="004A4277"/>
    <w:rsid w:val="004A4E5C"/>
    <w:rsid w:val="004A6AF8"/>
    <w:rsid w:val="004A743E"/>
    <w:rsid w:val="004B094A"/>
    <w:rsid w:val="004B1E83"/>
    <w:rsid w:val="004B2F36"/>
    <w:rsid w:val="004B351E"/>
    <w:rsid w:val="004B575B"/>
    <w:rsid w:val="004C0E25"/>
    <w:rsid w:val="004C7147"/>
    <w:rsid w:val="004C7C03"/>
    <w:rsid w:val="004D2736"/>
    <w:rsid w:val="004D4B1A"/>
    <w:rsid w:val="004D4B91"/>
    <w:rsid w:val="004D7914"/>
    <w:rsid w:val="004E29CD"/>
    <w:rsid w:val="004E6822"/>
    <w:rsid w:val="004F6724"/>
    <w:rsid w:val="005013F4"/>
    <w:rsid w:val="005061F8"/>
    <w:rsid w:val="0050698D"/>
    <w:rsid w:val="00506EA1"/>
    <w:rsid w:val="005070A7"/>
    <w:rsid w:val="00512BC2"/>
    <w:rsid w:val="005229FE"/>
    <w:rsid w:val="005261EB"/>
    <w:rsid w:val="00526DA6"/>
    <w:rsid w:val="00526E23"/>
    <w:rsid w:val="005275F9"/>
    <w:rsid w:val="00533925"/>
    <w:rsid w:val="00534AB7"/>
    <w:rsid w:val="0054143C"/>
    <w:rsid w:val="005430E1"/>
    <w:rsid w:val="00543380"/>
    <w:rsid w:val="005443C8"/>
    <w:rsid w:val="00545EDD"/>
    <w:rsid w:val="00547B42"/>
    <w:rsid w:val="00551257"/>
    <w:rsid w:val="00552F9A"/>
    <w:rsid w:val="0055423C"/>
    <w:rsid w:val="00555B83"/>
    <w:rsid w:val="005564DD"/>
    <w:rsid w:val="005603C3"/>
    <w:rsid w:val="005627F6"/>
    <w:rsid w:val="005644F9"/>
    <w:rsid w:val="00564881"/>
    <w:rsid w:val="005658BB"/>
    <w:rsid w:val="00565AD4"/>
    <w:rsid w:val="00565DA4"/>
    <w:rsid w:val="0057125E"/>
    <w:rsid w:val="00571A77"/>
    <w:rsid w:val="00574453"/>
    <w:rsid w:val="00576352"/>
    <w:rsid w:val="005768CF"/>
    <w:rsid w:val="00576F94"/>
    <w:rsid w:val="00585592"/>
    <w:rsid w:val="00586E84"/>
    <w:rsid w:val="00587C39"/>
    <w:rsid w:val="00590813"/>
    <w:rsid w:val="00591C21"/>
    <w:rsid w:val="005944DC"/>
    <w:rsid w:val="005A4AD7"/>
    <w:rsid w:val="005A55CC"/>
    <w:rsid w:val="005B07F8"/>
    <w:rsid w:val="005B226A"/>
    <w:rsid w:val="005B4F2F"/>
    <w:rsid w:val="005B6792"/>
    <w:rsid w:val="005B7BCF"/>
    <w:rsid w:val="005C5CFD"/>
    <w:rsid w:val="005C6499"/>
    <w:rsid w:val="005C65D5"/>
    <w:rsid w:val="005E164D"/>
    <w:rsid w:val="005E3F23"/>
    <w:rsid w:val="005F6E32"/>
    <w:rsid w:val="00600285"/>
    <w:rsid w:val="006032D3"/>
    <w:rsid w:val="0060397E"/>
    <w:rsid w:val="006050B0"/>
    <w:rsid w:val="0060587F"/>
    <w:rsid w:val="00614066"/>
    <w:rsid w:val="006147F4"/>
    <w:rsid w:val="0061593E"/>
    <w:rsid w:val="00632893"/>
    <w:rsid w:val="00635ED6"/>
    <w:rsid w:val="006373CA"/>
    <w:rsid w:val="00641423"/>
    <w:rsid w:val="00642864"/>
    <w:rsid w:val="006442CA"/>
    <w:rsid w:val="006503E3"/>
    <w:rsid w:val="0065132B"/>
    <w:rsid w:val="00655A3D"/>
    <w:rsid w:val="00656A34"/>
    <w:rsid w:val="006579BC"/>
    <w:rsid w:val="00662901"/>
    <w:rsid w:val="006637FB"/>
    <w:rsid w:val="00672EC7"/>
    <w:rsid w:val="006831F9"/>
    <w:rsid w:val="00687ACA"/>
    <w:rsid w:val="006928E3"/>
    <w:rsid w:val="006A0D58"/>
    <w:rsid w:val="006A1D04"/>
    <w:rsid w:val="006A27E2"/>
    <w:rsid w:val="006A60BE"/>
    <w:rsid w:val="006A6DBB"/>
    <w:rsid w:val="006A7D78"/>
    <w:rsid w:val="006B0C1C"/>
    <w:rsid w:val="006B6922"/>
    <w:rsid w:val="006C147D"/>
    <w:rsid w:val="006C1DD9"/>
    <w:rsid w:val="006C2697"/>
    <w:rsid w:val="006D158B"/>
    <w:rsid w:val="006D3647"/>
    <w:rsid w:val="006D49B2"/>
    <w:rsid w:val="006E20D2"/>
    <w:rsid w:val="006E43EA"/>
    <w:rsid w:val="006E5714"/>
    <w:rsid w:val="006E6F9A"/>
    <w:rsid w:val="006E7A78"/>
    <w:rsid w:val="006F0373"/>
    <w:rsid w:val="006F07C7"/>
    <w:rsid w:val="006F16E6"/>
    <w:rsid w:val="006F28AB"/>
    <w:rsid w:val="006F43A7"/>
    <w:rsid w:val="006F68CF"/>
    <w:rsid w:val="00700A35"/>
    <w:rsid w:val="00701EE1"/>
    <w:rsid w:val="00702C96"/>
    <w:rsid w:val="00702EC2"/>
    <w:rsid w:val="00710BA7"/>
    <w:rsid w:val="00711DC6"/>
    <w:rsid w:val="00712EB0"/>
    <w:rsid w:val="00713E7A"/>
    <w:rsid w:val="00720746"/>
    <w:rsid w:val="00722AFC"/>
    <w:rsid w:val="00722C1B"/>
    <w:rsid w:val="00725A07"/>
    <w:rsid w:val="00726019"/>
    <w:rsid w:val="007270FB"/>
    <w:rsid w:val="00727696"/>
    <w:rsid w:val="0073028F"/>
    <w:rsid w:val="00731B35"/>
    <w:rsid w:val="00731BDF"/>
    <w:rsid w:val="00731E07"/>
    <w:rsid w:val="007329DB"/>
    <w:rsid w:val="0073407D"/>
    <w:rsid w:val="00741636"/>
    <w:rsid w:val="00741882"/>
    <w:rsid w:val="00744F29"/>
    <w:rsid w:val="007454CB"/>
    <w:rsid w:val="00750E9A"/>
    <w:rsid w:val="00752C42"/>
    <w:rsid w:val="00753C02"/>
    <w:rsid w:val="00757B9D"/>
    <w:rsid w:val="00757BE8"/>
    <w:rsid w:val="00760200"/>
    <w:rsid w:val="00764740"/>
    <w:rsid w:val="00764D8C"/>
    <w:rsid w:val="00770C48"/>
    <w:rsid w:val="00770FE5"/>
    <w:rsid w:val="007812BF"/>
    <w:rsid w:val="007869FC"/>
    <w:rsid w:val="007912FA"/>
    <w:rsid w:val="00794F6D"/>
    <w:rsid w:val="007A26FE"/>
    <w:rsid w:val="007A4350"/>
    <w:rsid w:val="007A517E"/>
    <w:rsid w:val="007B054C"/>
    <w:rsid w:val="007B14B6"/>
    <w:rsid w:val="007C3480"/>
    <w:rsid w:val="007C35D5"/>
    <w:rsid w:val="007C6B12"/>
    <w:rsid w:val="007D4ED8"/>
    <w:rsid w:val="007D5ED3"/>
    <w:rsid w:val="007D6CE7"/>
    <w:rsid w:val="007E0795"/>
    <w:rsid w:val="007E56D9"/>
    <w:rsid w:val="007E7936"/>
    <w:rsid w:val="007F2322"/>
    <w:rsid w:val="007F2B23"/>
    <w:rsid w:val="007F3841"/>
    <w:rsid w:val="0080070F"/>
    <w:rsid w:val="008020A4"/>
    <w:rsid w:val="0080224A"/>
    <w:rsid w:val="00802A32"/>
    <w:rsid w:val="00803302"/>
    <w:rsid w:val="00804918"/>
    <w:rsid w:val="00804CD1"/>
    <w:rsid w:val="0080618E"/>
    <w:rsid w:val="00813E94"/>
    <w:rsid w:val="008141F8"/>
    <w:rsid w:val="008239FE"/>
    <w:rsid w:val="0083126E"/>
    <w:rsid w:val="00833745"/>
    <w:rsid w:val="0083469E"/>
    <w:rsid w:val="00837C2B"/>
    <w:rsid w:val="00844D22"/>
    <w:rsid w:val="00855176"/>
    <w:rsid w:val="00860CEE"/>
    <w:rsid w:val="0086403D"/>
    <w:rsid w:val="008672C9"/>
    <w:rsid w:val="008744EE"/>
    <w:rsid w:val="00874DA6"/>
    <w:rsid w:val="00875B1A"/>
    <w:rsid w:val="008828A5"/>
    <w:rsid w:val="008858EA"/>
    <w:rsid w:val="008949B4"/>
    <w:rsid w:val="008A1F4A"/>
    <w:rsid w:val="008A4737"/>
    <w:rsid w:val="008A4ABC"/>
    <w:rsid w:val="008B3B53"/>
    <w:rsid w:val="008C488C"/>
    <w:rsid w:val="008C7374"/>
    <w:rsid w:val="008C74E1"/>
    <w:rsid w:val="008D0CE6"/>
    <w:rsid w:val="008D1944"/>
    <w:rsid w:val="008D44C6"/>
    <w:rsid w:val="008D596D"/>
    <w:rsid w:val="008D6780"/>
    <w:rsid w:val="008E0138"/>
    <w:rsid w:val="008E142D"/>
    <w:rsid w:val="008E1A5E"/>
    <w:rsid w:val="008E41C8"/>
    <w:rsid w:val="008E45C2"/>
    <w:rsid w:val="008F0C8E"/>
    <w:rsid w:val="008F2260"/>
    <w:rsid w:val="008F245D"/>
    <w:rsid w:val="008F43D0"/>
    <w:rsid w:val="008F4482"/>
    <w:rsid w:val="008F4643"/>
    <w:rsid w:val="008F5017"/>
    <w:rsid w:val="008F52C1"/>
    <w:rsid w:val="008F5CD4"/>
    <w:rsid w:val="008F6749"/>
    <w:rsid w:val="00906DC6"/>
    <w:rsid w:val="0091009D"/>
    <w:rsid w:val="00911930"/>
    <w:rsid w:val="00920143"/>
    <w:rsid w:val="00920BFA"/>
    <w:rsid w:val="00923713"/>
    <w:rsid w:val="00927C5D"/>
    <w:rsid w:val="009374E4"/>
    <w:rsid w:val="00940EF4"/>
    <w:rsid w:val="009410A5"/>
    <w:rsid w:val="0094200F"/>
    <w:rsid w:val="00947012"/>
    <w:rsid w:val="0094761C"/>
    <w:rsid w:val="00952B90"/>
    <w:rsid w:val="00954BDA"/>
    <w:rsid w:val="009561B0"/>
    <w:rsid w:val="00956371"/>
    <w:rsid w:val="00975445"/>
    <w:rsid w:val="00982C7B"/>
    <w:rsid w:val="00984655"/>
    <w:rsid w:val="00996F31"/>
    <w:rsid w:val="009971AC"/>
    <w:rsid w:val="00997C35"/>
    <w:rsid w:val="009A1F07"/>
    <w:rsid w:val="009A6092"/>
    <w:rsid w:val="009B2B42"/>
    <w:rsid w:val="009B7458"/>
    <w:rsid w:val="009C6884"/>
    <w:rsid w:val="009C709F"/>
    <w:rsid w:val="009D4F22"/>
    <w:rsid w:val="009D65DF"/>
    <w:rsid w:val="009D71C9"/>
    <w:rsid w:val="009E0C8C"/>
    <w:rsid w:val="009E4E7E"/>
    <w:rsid w:val="009E6819"/>
    <w:rsid w:val="009F14D9"/>
    <w:rsid w:val="009F1958"/>
    <w:rsid w:val="009F5BDC"/>
    <w:rsid w:val="009F6603"/>
    <w:rsid w:val="00A0427C"/>
    <w:rsid w:val="00A073E6"/>
    <w:rsid w:val="00A07E14"/>
    <w:rsid w:val="00A11332"/>
    <w:rsid w:val="00A12ADC"/>
    <w:rsid w:val="00A159FB"/>
    <w:rsid w:val="00A170B0"/>
    <w:rsid w:val="00A173CE"/>
    <w:rsid w:val="00A21443"/>
    <w:rsid w:val="00A30836"/>
    <w:rsid w:val="00A313BE"/>
    <w:rsid w:val="00A31E8C"/>
    <w:rsid w:val="00A332D5"/>
    <w:rsid w:val="00A3356D"/>
    <w:rsid w:val="00A34612"/>
    <w:rsid w:val="00A36FE5"/>
    <w:rsid w:val="00A4073F"/>
    <w:rsid w:val="00A41026"/>
    <w:rsid w:val="00A41D64"/>
    <w:rsid w:val="00A51859"/>
    <w:rsid w:val="00A54846"/>
    <w:rsid w:val="00A55D6E"/>
    <w:rsid w:val="00A55E98"/>
    <w:rsid w:val="00A56E52"/>
    <w:rsid w:val="00A64AE5"/>
    <w:rsid w:val="00A65232"/>
    <w:rsid w:val="00A65B00"/>
    <w:rsid w:val="00A74024"/>
    <w:rsid w:val="00A74F97"/>
    <w:rsid w:val="00A7602B"/>
    <w:rsid w:val="00A76D3A"/>
    <w:rsid w:val="00A806DE"/>
    <w:rsid w:val="00A9043F"/>
    <w:rsid w:val="00A9138C"/>
    <w:rsid w:val="00A92CC1"/>
    <w:rsid w:val="00A942AC"/>
    <w:rsid w:val="00A972D0"/>
    <w:rsid w:val="00A97783"/>
    <w:rsid w:val="00AA4757"/>
    <w:rsid w:val="00AA64D1"/>
    <w:rsid w:val="00AB04FD"/>
    <w:rsid w:val="00AB10C2"/>
    <w:rsid w:val="00AB6864"/>
    <w:rsid w:val="00AB78E2"/>
    <w:rsid w:val="00AC051F"/>
    <w:rsid w:val="00AD6739"/>
    <w:rsid w:val="00AD7C6B"/>
    <w:rsid w:val="00AE0DC2"/>
    <w:rsid w:val="00AE22D6"/>
    <w:rsid w:val="00AE48CC"/>
    <w:rsid w:val="00AE63ED"/>
    <w:rsid w:val="00AE7FA5"/>
    <w:rsid w:val="00AF0990"/>
    <w:rsid w:val="00AF2BDE"/>
    <w:rsid w:val="00AF3D5F"/>
    <w:rsid w:val="00B0000A"/>
    <w:rsid w:val="00B01FE0"/>
    <w:rsid w:val="00B04709"/>
    <w:rsid w:val="00B10504"/>
    <w:rsid w:val="00B14ACD"/>
    <w:rsid w:val="00B15065"/>
    <w:rsid w:val="00B15C9D"/>
    <w:rsid w:val="00B1661D"/>
    <w:rsid w:val="00B22632"/>
    <w:rsid w:val="00B233A0"/>
    <w:rsid w:val="00B25612"/>
    <w:rsid w:val="00B31785"/>
    <w:rsid w:val="00B31D14"/>
    <w:rsid w:val="00B32835"/>
    <w:rsid w:val="00B352D0"/>
    <w:rsid w:val="00B41278"/>
    <w:rsid w:val="00B41C09"/>
    <w:rsid w:val="00B430AE"/>
    <w:rsid w:val="00B44B26"/>
    <w:rsid w:val="00B464DB"/>
    <w:rsid w:val="00B511F4"/>
    <w:rsid w:val="00B548EB"/>
    <w:rsid w:val="00B54D9B"/>
    <w:rsid w:val="00B565E5"/>
    <w:rsid w:val="00B57B45"/>
    <w:rsid w:val="00B60FDA"/>
    <w:rsid w:val="00B615F8"/>
    <w:rsid w:val="00B62798"/>
    <w:rsid w:val="00B63006"/>
    <w:rsid w:val="00B636C4"/>
    <w:rsid w:val="00B65EC4"/>
    <w:rsid w:val="00B66117"/>
    <w:rsid w:val="00B66FBC"/>
    <w:rsid w:val="00B7205E"/>
    <w:rsid w:val="00B72870"/>
    <w:rsid w:val="00B74BB9"/>
    <w:rsid w:val="00B74E16"/>
    <w:rsid w:val="00B75DF6"/>
    <w:rsid w:val="00B7676F"/>
    <w:rsid w:val="00B77ACF"/>
    <w:rsid w:val="00B85CB1"/>
    <w:rsid w:val="00B9069A"/>
    <w:rsid w:val="00B90BC1"/>
    <w:rsid w:val="00B94AD5"/>
    <w:rsid w:val="00B95DE1"/>
    <w:rsid w:val="00B963C7"/>
    <w:rsid w:val="00BA1F67"/>
    <w:rsid w:val="00BA421A"/>
    <w:rsid w:val="00BA470F"/>
    <w:rsid w:val="00BA78AF"/>
    <w:rsid w:val="00BB0D07"/>
    <w:rsid w:val="00BB449A"/>
    <w:rsid w:val="00BB6CDF"/>
    <w:rsid w:val="00BB7809"/>
    <w:rsid w:val="00BC404C"/>
    <w:rsid w:val="00BC42F5"/>
    <w:rsid w:val="00BD07F4"/>
    <w:rsid w:val="00BD0906"/>
    <w:rsid w:val="00BD09FC"/>
    <w:rsid w:val="00BD2D82"/>
    <w:rsid w:val="00BE1499"/>
    <w:rsid w:val="00BE643D"/>
    <w:rsid w:val="00BE6B62"/>
    <w:rsid w:val="00BF0602"/>
    <w:rsid w:val="00C02089"/>
    <w:rsid w:val="00C03379"/>
    <w:rsid w:val="00C13458"/>
    <w:rsid w:val="00C138BD"/>
    <w:rsid w:val="00C13EF9"/>
    <w:rsid w:val="00C140B3"/>
    <w:rsid w:val="00C1434F"/>
    <w:rsid w:val="00C159F5"/>
    <w:rsid w:val="00C15F65"/>
    <w:rsid w:val="00C1629B"/>
    <w:rsid w:val="00C206A5"/>
    <w:rsid w:val="00C211C1"/>
    <w:rsid w:val="00C21956"/>
    <w:rsid w:val="00C22C11"/>
    <w:rsid w:val="00C247CA"/>
    <w:rsid w:val="00C24B3A"/>
    <w:rsid w:val="00C26116"/>
    <w:rsid w:val="00C3102B"/>
    <w:rsid w:val="00C36095"/>
    <w:rsid w:val="00C51768"/>
    <w:rsid w:val="00C5304A"/>
    <w:rsid w:val="00C66D4E"/>
    <w:rsid w:val="00C67DB0"/>
    <w:rsid w:val="00C70640"/>
    <w:rsid w:val="00C84731"/>
    <w:rsid w:val="00C96859"/>
    <w:rsid w:val="00CA0BFD"/>
    <w:rsid w:val="00CA17AE"/>
    <w:rsid w:val="00CA2062"/>
    <w:rsid w:val="00CA20F4"/>
    <w:rsid w:val="00CA2A23"/>
    <w:rsid w:val="00CA7664"/>
    <w:rsid w:val="00CB0984"/>
    <w:rsid w:val="00CC1A22"/>
    <w:rsid w:val="00CC6EAF"/>
    <w:rsid w:val="00CD0B3D"/>
    <w:rsid w:val="00CD4A90"/>
    <w:rsid w:val="00CD565C"/>
    <w:rsid w:val="00CD5CCF"/>
    <w:rsid w:val="00CD5DA8"/>
    <w:rsid w:val="00CE1AFF"/>
    <w:rsid w:val="00CE5667"/>
    <w:rsid w:val="00CE74FD"/>
    <w:rsid w:val="00CF1F40"/>
    <w:rsid w:val="00CF31EF"/>
    <w:rsid w:val="00CF5304"/>
    <w:rsid w:val="00CF66E5"/>
    <w:rsid w:val="00CF787A"/>
    <w:rsid w:val="00D008FE"/>
    <w:rsid w:val="00D00C3E"/>
    <w:rsid w:val="00D0400B"/>
    <w:rsid w:val="00D04D99"/>
    <w:rsid w:val="00D07BE9"/>
    <w:rsid w:val="00D07E16"/>
    <w:rsid w:val="00D11173"/>
    <w:rsid w:val="00D12396"/>
    <w:rsid w:val="00D1375E"/>
    <w:rsid w:val="00D139EE"/>
    <w:rsid w:val="00D13DBF"/>
    <w:rsid w:val="00D212B5"/>
    <w:rsid w:val="00D249BE"/>
    <w:rsid w:val="00D27AB3"/>
    <w:rsid w:val="00D317EB"/>
    <w:rsid w:val="00D31D2E"/>
    <w:rsid w:val="00D3533E"/>
    <w:rsid w:val="00D364C6"/>
    <w:rsid w:val="00D40468"/>
    <w:rsid w:val="00D4173A"/>
    <w:rsid w:val="00D43153"/>
    <w:rsid w:val="00D4375F"/>
    <w:rsid w:val="00D44678"/>
    <w:rsid w:val="00D447DB"/>
    <w:rsid w:val="00D45615"/>
    <w:rsid w:val="00D51723"/>
    <w:rsid w:val="00D5189A"/>
    <w:rsid w:val="00D530A9"/>
    <w:rsid w:val="00D61923"/>
    <w:rsid w:val="00D61FBB"/>
    <w:rsid w:val="00D63B0D"/>
    <w:rsid w:val="00D64485"/>
    <w:rsid w:val="00D658AC"/>
    <w:rsid w:val="00D66AB6"/>
    <w:rsid w:val="00D66D99"/>
    <w:rsid w:val="00D7058A"/>
    <w:rsid w:val="00D716BE"/>
    <w:rsid w:val="00D71FE5"/>
    <w:rsid w:val="00D7403C"/>
    <w:rsid w:val="00D74980"/>
    <w:rsid w:val="00D77377"/>
    <w:rsid w:val="00D77631"/>
    <w:rsid w:val="00D77F04"/>
    <w:rsid w:val="00D80178"/>
    <w:rsid w:val="00D80617"/>
    <w:rsid w:val="00D82700"/>
    <w:rsid w:val="00D85308"/>
    <w:rsid w:val="00D8620B"/>
    <w:rsid w:val="00D90644"/>
    <w:rsid w:val="00D96072"/>
    <w:rsid w:val="00D96D3E"/>
    <w:rsid w:val="00DA0DF8"/>
    <w:rsid w:val="00DA1965"/>
    <w:rsid w:val="00DA1D34"/>
    <w:rsid w:val="00DB5158"/>
    <w:rsid w:val="00DC0F30"/>
    <w:rsid w:val="00DC41FF"/>
    <w:rsid w:val="00DD1BB3"/>
    <w:rsid w:val="00DD5D5F"/>
    <w:rsid w:val="00DD683F"/>
    <w:rsid w:val="00DD71F7"/>
    <w:rsid w:val="00DE1246"/>
    <w:rsid w:val="00DE1434"/>
    <w:rsid w:val="00DE16D7"/>
    <w:rsid w:val="00DE2770"/>
    <w:rsid w:val="00DE4A97"/>
    <w:rsid w:val="00DE5B3D"/>
    <w:rsid w:val="00DE6A7B"/>
    <w:rsid w:val="00DF070B"/>
    <w:rsid w:val="00DF5063"/>
    <w:rsid w:val="00DF5F85"/>
    <w:rsid w:val="00E01552"/>
    <w:rsid w:val="00E044DA"/>
    <w:rsid w:val="00E04B19"/>
    <w:rsid w:val="00E0608E"/>
    <w:rsid w:val="00E06AC6"/>
    <w:rsid w:val="00E11FF3"/>
    <w:rsid w:val="00E146DD"/>
    <w:rsid w:val="00E15472"/>
    <w:rsid w:val="00E1726F"/>
    <w:rsid w:val="00E20CF8"/>
    <w:rsid w:val="00E3063B"/>
    <w:rsid w:val="00E44BFE"/>
    <w:rsid w:val="00E57690"/>
    <w:rsid w:val="00E57EA8"/>
    <w:rsid w:val="00E71E1B"/>
    <w:rsid w:val="00E74096"/>
    <w:rsid w:val="00E77405"/>
    <w:rsid w:val="00E8033E"/>
    <w:rsid w:val="00E80D34"/>
    <w:rsid w:val="00E810F4"/>
    <w:rsid w:val="00E825F8"/>
    <w:rsid w:val="00E85CB1"/>
    <w:rsid w:val="00E86D78"/>
    <w:rsid w:val="00E87EBA"/>
    <w:rsid w:val="00E92497"/>
    <w:rsid w:val="00E92E83"/>
    <w:rsid w:val="00EA059B"/>
    <w:rsid w:val="00EA55FA"/>
    <w:rsid w:val="00EA5832"/>
    <w:rsid w:val="00EC0E40"/>
    <w:rsid w:val="00EC4559"/>
    <w:rsid w:val="00EC47C2"/>
    <w:rsid w:val="00EC4E5B"/>
    <w:rsid w:val="00ED1EAF"/>
    <w:rsid w:val="00ED2FE7"/>
    <w:rsid w:val="00ED4770"/>
    <w:rsid w:val="00ED65A4"/>
    <w:rsid w:val="00ED65B5"/>
    <w:rsid w:val="00EE0C83"/>
    <w:rsid w:val="00EE3CA5"/>
    <w:rsid w:val="00EE4DA9"/>
    <w:rsid w:val="00EE6319"/>
    <w:rsid w:val="00EF2579"/>
    <w:rsid w:val="00EF3E34"/>
    <w:rsid w:val="00F00367"/>
    <w:rsid w:val="00F02B8A"/>
    <w:rsid w:val="00F1234E"/>
    <w:rsid w:val="00F12964"/>
    <w:rsid w:val="00F142D7"/>
    <w:rsid w:val="00F1745A"/>
    <w:rsid w:val="00F20991"/>
    <w:rsid w:val="00F21778"/>
    <w:rsid w:val="00F313CE"/>
    <w:rsid w:val="00F33ECE"/>
    <w:rsid w:val="00F34416"/>
    <w:rsid w:val="00F3538B"/>
    <w:rsid w:val="00F360A4"/>
    <w:rsid w:val="00F37288"/>
    <w:rsid w:val="00F4002F"/>
    <w:rsid w:val="00F40CE7"/>
    <w:rsid w:val="00F415B6"/>
    <w:rsid w:val="00F41852"/>
    <w:rsid w:val="00F4498D"/>
    <w:rsid w:val="00F44AB6"/>
    <w:rsid w:val="00F4553E"/>
    <w:rsid w:val="00F46F8E"/>
    <w:rsid w:val="00F5331E"/>
    <w:rsid w:val="00F55CCC"/>
    <w:rsid w:val="00F6210A"/>
    <w:rsid w:val="00F64EC4"/>
    <w:rsid w:val="00F66145"/>
    <w:rsid w:val="00F711E6"/>
    <w:rsid w:val="00F714E1"/>
    <w:rsid w:val="00F71731"/>
    <w:rsid w:val="00F769A9"/>
    <w:rsid w:val="00F776C5"/>
    <w:rsid w:val="00F77E5A"/>
    <w:rsid w:val="00F81DEC"/>
    <w:rsid w:val="00F84E4C"/>
    <w:rsid w:val="00F855F0"/>
    <w:rsid w:val="00F9021A"/>
    <w:rsid w:val="00F91FB3"/>
    <w:rsid w:val="00F954AF"/>
    <w:rsid w:val="00F95964"/>
    <w:rsid w:val="00F96F45"/>
    <w:rsid w:val="00F97B04"/>
    <w:rsid w:val="00FA5BB7"/>
    <w:rsid w:val="00FA6D0F"/>
    <w:rsid w:val="00FB154E"/>
    <w:rsid w:val="00FB2CBE"/>
    <w:rsid w:val="00FB31A7"/>
    <w:rsid w:val="00FB3D34"/>
    <w:rsid w:val="00FC1A33"/>
    <w:rsid w:val="00FC6D17"/>
    <w:rsid w:val="00FD2238"/>
    <w:rsid w:val="00FD485D"/>
    <w:rsid w:val="00FD7239"/>
    <w:rsid w:val="00FD72B9"/>
    <w:rsid w:val="00FE212A"/>
    <w:rsid w:val="00FE38D4"/>
    <w:rsid w:val="00FE5EEF"/>
    <w:rsid w:val="00FE6362"/>
    <w:rsid w:val="00FF36FC"/>
    <w:rsid w:val="00FF5C9B"/>
    <w:rsid w:val="15E50747"/>
    <w:rsid w:val="331E2C0F"/>
    <w:rsid w:val="7D1330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360" w:lineRule="auto"/>
      <w:ind w:firstLine="480" w:firstLineChars="200"/>
    </w:pPr>
    <w:rPr>
      <w:rFonts w:ascii="Times New Roman" w:hAnsi="Times New Roman" w:eastAsia="宋体" w:cstheme="minorBidi"/>
      <w:kern w:val="2"/>
      <w:sz w:val="24"/>
      <w:szCs w:val="24"/>
      <w:lang w:val="en-US" w:eastAsia="zh-CN" w:bidi="ar-SA"/>
      <w14:ligatures w14:val="standardContextual"/>
    </w:rPr>
  </w:style>
  <w:style w:type="paragraph" w:styleId="2">
    <w:name w:val="heading 1"/>
    <w:basedOn w:val="1"/>
    <w:next w:val="1"/>
    <w:link w:val="23"/>
    <w:autoRedefine/>
    <w:qFormat/>
    <w:uiPriority w:val="9"/>
    <w:pPr>
      <w:keepNext/>
      <w:keepLines/>
      <w:spacing w:before="480" w:after="80"/>
      <w:outlineLvl w:val="0"/>
    </w:pPr>
    <w:rPr>
      <w:rFonts w:asciiTheme="majorHAnsi" w:hAnsiTheme="majorHAnsi" w:cstheme="majorBidi"/>
      <w:b/>
      <w:color w:val="000000" w:themeColor="text1"/>
      <w:sz w:val="30"/>
      <w:szCs w:val="48"/>
      <w14:textFill>
        <w14:solidFill>
          <w14:schemeClr w14:val="tx1"/>
        </w14:solidFill>
      </w14:textFill>
    </w:rPr>
  </w:style>
  <w:style w:type="paragraph" w:styleId="3">
    <w:name w:val="heading 2"/>
    <w:basedOn w:val="1"/>
    <w:next w:val="1"/>
    <w:link w:val="24"/>
    <w:unhideWhenUsed/>
    <w:qFormat/>
    <w:uiPriority w:val="9"/>
    <w:pPr>
      <w:spacing w:line="278" w:lineRule="auto"/>
      <w:outlineLvl w:val="1"/>
    </w:pPr>
    <w:rPr>
      <w:b/>
    </w:rPr>
  </w:style>
  <w:style w:type="paragraph" w:styleId="4">
    <w:name w:val="heading 3"/>
    <w:basedOn w:val="1"/>
    <w:next w:val="1"/>
    <w:link w:val="25"/>
    <w:autoRedefine/>
    <w:unhideWhenUsed/>
    <w:qFormat/>
    <w:uiPriority w:val="9"/>
    <w:pPr>
      <w:keepNext/>
      <w:keepLines/>
      <w:spacing w:before="160" w:after="80"/>
      <w:outlineLvl w:val="2"/>
    </w:pPr>
    <w:rPr>
      <w:rFonts w:asciiTheme="majorHAnsi" w:hAnsiTheme="majorHAnsi" w:cstheme="majorBidi"/>
      <w:b/>
      <w:szCs w:val="32"/>
    </w:rPr>
  </w:style>
  <w:style w:type="paragraph" w:styleId="5">
    <w:name w:val="heading 4"/>
    <w:basedOn w:val="1"/>
    <w:next w:val="1"/>
    <w:link w:val="26"/>
    <w:autoRedefine/>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7"/>
    <w:semiHidden/>
    <w:unhideWhenUsed/>
    <w:qFormat/>
    <w:uiPriority w:val="9"/>
    <w:pPr>
      <w:keepNext/>
      <w:keepLines/>
      <w:spacing w:before="80" w:after="40"/>
      <w:outlineLvl w:val="4"/>
    </w:pPr>
    <w:rPr>
      <w:rFonts w:cstheme="majorBidi"/>
      <w:color w:val="2F5597" w:themeColor="accent1" w:themeShade="BF"/>
    </w:rPr>
  </w:style>
  <w:style w:type="paragraph" w:styleId="7">
    <w:name w:val="heading 6"/>
    <w:basedOn w:val="1"/>
    <w:next w:val="1"/>
    <w:link w:val="28"/>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9"/>
    <w:autoRedefine/>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autoRedefine/>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1"/>
    <w:autoRedefine/>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9">
    <w:name w:val="Default Paragraph Font"/>
    <w:autoRedefine/>
    <w:unhideWhenUsed/>
    <w:qFormat/>
    <w:uiPriority w:val="1"/>
  </w:style>
  <w:style w:type="table" w:default="1" w:styleId="18">
    <w:name w:val="Normal Table"/>
    <w:autoRedefine/>
    <w:semiHidden/>
    <w:unhideWhenUsed/>
    <w:qFormat/>
    <w:uiPriority w:val="99"/>
    <w:tblPr>
      <w:tblCellMar>
        <w:top w:w="0" w:type="dxa"/>
        <w:left w:w="108" w:type="dxa"/>
        <w:bottom w:w="0" w:type="dxa"/>
        <w:right w:w="108" w:type="dxa"/>
      </w:tblCellMar>
    </w:tblPr>
  </w:style>
  <w:style w:type="paragraph" w:styleId="11">
    <w:name w:val="annotation text"/>
    <w:basedOn w:val="1"/>
    <w:link w:val="45"/>
    <w:autoRedefine/>
    <w:unhideWhenUsed/>
    <w:qFormat/>
    <w:uiPriority w:val="99"/>
  </w:style>
  <w:style w:type="paragraph" w:styleId="12">
    <w:name w:val="footer"/>
    <w:basedOn w:val="1"/>
    <w:link w:val="48"/>
    <w:autoRedefine/>
    <w:unhideWhenUsed/>
    <w:qFormat/>
    <w:uiPriority w:val="99"/>
    <w:pPr>
      <w:tabs>
        <w:tab w:val="center" w:pos="4153"/>
        <w:tab w:val="right" w:pos="8306"/>
      </w:tabs>
      <w:snapToGrid w:val="0"/>
      <w:spacing w:line="240" w:lineRule="auto"/>
    </w:pPr>
    <w:rPr>
      <w:sz w:val="18"/>
      <w:szCs w:val="18"/>
    </w:rPr>
  </w:style>
  <w:style w:type="paragraph" w:styleId="13">
    <w:name w:val="header"/>
    <w:basedOn w:val="1"/>
    <w:link w:val="47"/>
    <w:autoRedefine/>
    <w:unhideWhenUsed/>
    <w:qFormat/>
    <w:uiPriority w:val="99"/>
    <w:pPr>
      <w:tabs>
        <w:tab w:val="center" w:pos="4153"/>
        <w:tab w:val="right" w:pos="8306"/>
      </w:tabs>
      <w:snapToGrid w:val="0"/>
      <w:spacing w:line="240" w:lineRule="auto"/>
      <w:jc w:val="center"/>
    </w:pPr>
    <w:rPr>
      <w:sz w:val="18"/>
      <w:szCs w:val="18"/>
    </w:rPr>
  </w:style>
  <w:style w:type="paragraph" w:styleId="14">
    <w:name w:val="Subtitle"/>
    <w:basedOn w:val="1"/>
    <w:next w:val="1"/>
    <w:link w:val="33"/>
    <w:autoRedefine/>
    <w:qFormat/>
    <w:uiPriority w:val="11"/>
    <w:pPr>
      <w:ind w:firstLine="200" w:firstLineChars="20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Normal (Web)"/>
    <w:basedOn w:val="1"/>
    <w:autoRedefine/>
    <w:semiHidden/>
    <w:unhideWhenUsed/>
    <w:qFormat/>
    <w:uiPriority w:val="99"/>
    <w:rPr>
      <w:rFonts w:cs="Times New Roman"/>
    </w:rPr>
  </w:style>
  <w:style w:type="paragraph" w:styleId="16">
    <w:name w:val="Title"/>
    <w:basedOn w:val="1"/>
    <w:next w:val="1"/>
    <w:link w:val="32"/>
    <w:autoRedefine/>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annotation subject"/>
    <w:basedOn w:val="11"/>
    <w:next w:val="11"/>
    <w:link w:val="46"/>
    <w:autoRedefine/>
    <w:semiHidden/>
    <w:unhideWhenUsed/>
    <w:qFormat/>
    <w:uiPriority w:val="99"/>
    <w:rPr>
      <w:b/>
      <w:bCs/>
    </w:rPr>
  </w:style>
  <w:style w:type="character" w:styleId="20">
    <w:name w:val="FollowedHyperlink"/>
    <w:basedOn w:val="19"/>
    <w:autoRedefine/>
    <w:semiHidden/>
    <w:unhideWhenUsed/>
    <w:qFormat/>
    <w:uiPriority w:val="99"/>
    <w:rPr>
      <w:color w:val="954F72" w:themeColor="followedHyperlink"/>
      <w:u w:val="single"/>
      <w14:textFill>
        <w14:solidFill>
          <w14:schemeClr w14:val="folHlink"/>
        </w14:solidFill>
      </w14:textFill>
    </w:rPr>
  </w:style>
  <w:style w:type="character" w:styleId="21">
    <w:name w:val="Hyperlink"/>
    <w:basedOn w:val="19"/>
    <w:autoRedefine/>
    <w:unhideWhenUsed/>
    <w:qFormat/>
    <w:uiPriority w:val="99"/>
    <w:rPr>
      <w:color w:val="0563C1" w:themeColor="hyperlink"/>
      <w:u w:val="single"/>
      <w14:textFill>
        <w14:solidFill>
          <w14:schemeClr w14:val="hlink"/>
        </w14:solidFill>
      </w14:textFill>
    </w:rPr>
  </w:style>
  <w:style w:type="character" w:styleId="22">
    <w:name w:val="annotation reference"/>
    <w:basedOn w:val="19"/>
    <w:autoRedefine/>
    <w:semiHidden/>
    <w:unhideWhenUsed/>
    <w:qFormat/>
    <w:uiPriority w:val="99"/>
    <w:rPr>
      <w:sz w:val="21"/>
      <w:szCs w:val="21"/>
    </w:rPr>
  </w:style>
  <w:style w:type="character" w:customStyle="1" w:styleId="23">
    <w:name w:val="标题 1 字符"/>
    <w:basedOn w:val="19"/>
    <w:link w:val="2"/>
    <w:autoRedefine/>
    <w:qFormat/>
    <w:uiPriority w:val="9"/>
    <w:rPr>
      <w:rFonts w:eastAsia="宋体" w:asciiTheme="majorHAnsi" w:hAnsiTheme="majorHAnsi" w:cstheme="majorBidi"/>
      <w:b/>
      <w:color w:val="000000" w:themeColor="text1"/>
      <w:sz w:val="30"/>
      <w:szCs w:val="48"/>
      <w14:textFill>
        <w14:solidFill>
          <w14:schemeClr w14:val="tx1"/>
        </w14:solidFill>
      </w14:textFill>
    </w:rPr>
  </w:style>
  <w:style w:type="character" w:customStyle="1" w:styleId="24">
    <w:name w:val="标题 2 字符"/>
    <w:basedOn w:val="19"/>
    <w:link w:val="3"/>
    <w:autoRedefine/>
    <w:qFormat/>
    <w:uiPriority w:val="9"/>
    <w:rPr>
      <w:rFonts w:eastAsia="宋体"/>
      <w:b/>
      <w:sz w:val="24"/>
    </w:rPr>
  </w:style>
  <w:style w:type="character" w:customStyle="1" w:styleId="25">
    <w:name w:val="标题 3 字符"/>
    <w:basedOn w:val="19"/>
    <w:link w:val="4"/>
    <w:autoRedefine/>
    <w:qFormat/>
    <w:uiPriority w:val="9"/>
    <w:rPr>
      <w:rFonts w:eastAsia="宋体" w:asciiTheme="majorHAnsi" w:hAnsiTheme="majorHAnsi" w:cstheme="majorBidi"/>
      <w:b/>
      <w:sz w:val="24"/>
      <w:szCs w:val="32"/>
    </w:rPr>
  </w:style>
  <w:style w:type="character" w:customStyle="1" w:styleId="26">
    <w:name w:val="标题 4 字符"/>
    <w:basedOn w:val="19"/>
    <w:link w:val="5"/>
    <w:autoRedefine/>
    <w:qFormat/>
    <w:uiPriority w:val="9"/>
    <w:rPr>
      <w:rFonts w:cstheme="majorBidi"/>
      <w:color w:val="2F5597" w:themeColor="accent1" w:themeShade="BF"/>
      <w:sz w:val="28"/>
      <w:szCs w:val="28"/>
    </w:rPr>
  </w:style>
  <w:style w:type="character" w:customStyle="1" w:styleId="27">
    <w:name w:val="标题 5 字符"/>
    <w:basedOn w:val="19"/>
    <w:link w:val="6"/>
    <w:autoRedefine/>
    <w:semiHidden/>
    <w:qFormat/>
    <w:uiPriority w:val="9"/>
    <w:rPr>
      <w:rFonts w:cstheme="majorBidi"/>
      <w:color w:val="2F5597" w:themeColor="accent1" w:themeShade="BF"/>
      <w:sz w:val="24"/>
    </w:rPr>
  </w:style>
  <w:style w:type="character" w:customStyle="1" w:styleId="28">
    <w:name w:val="标题 6 字符"/>
    <w:basedOn w:val="19"/>
    <w:link w:val="7"/>
    <w:autoRedefine/>
    <w:semiHidden/>
    <w:qFormat/>
    <w:uiPriority w:val="9"/>
    <w:rPr>
      <w:rFonts w:cstheme="majorBidi"/>
      <w:b/>
      <w:bCs/>
      <w:color w:val="2F5597" w:themeColor="accent1" w:themeShade="BF"/>
    </w:rPr>
  </w:style>
  <w:style w:type="character" w:customStyle="1" w:styleId="29">
    <w:name w:val="标题 7 字符"/>
    <w:basedOn w:val="19"/>
    <w:link w:val="8"/>
    <w:autoRedefine/>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0">
    <w:name w:val="标题 8 字符"/>
    <w:basedOn w:val="19"/>
    <w:link w:val="9"/>
    <w:autoRedefine/>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1">
    <w:name w:val="标题 9 字符"/>
    <w:basedOn w:val="19"/>
    <w:link w:val="10"/>
    <w:autoRedefine/>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标题 字符"/>
    <w:basedOn w:val="19"/>
    <w:link w:val="16"/>
    <w:autoRedefine/>
    <w:qFormat/>
    <w:uiPriority w:val="10"/>
    <w:rPr>
      <w:rFonts w:asciiTheme="majorHAnsi" w:hAnsiTheme="majorHAnsi" w:eastAsiaTheme="majorEastAsia" w:cstheme="majorBidi"/>
      <w:spacing w:val="-10"/>
      <w:kern w:val="28"/>
      <w:sz w:val="56"/>
      <w:szCs w:val="56"/>
    </w:rPr>
  </w:style>
  <w:style w:type="character" w:customStyle="1" w:styleId="33">
    <w:name w:val="副标题 字符"/>
    <w:basedOn w:val="19"/>
    <w:link w:val="14"/>
    <w:autoRedefine/>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autoRedefine/>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引用 字符"/>
    <w:basedOn w:val="19"/>
    <w:link w:val="34"/>
    <w:autoRedefine/>
    <w:qFormat/>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autoRedefine/>
    <w:qFormat/>
    <w:uiPriority w:val="34"/>
    <w:pPr>
      <w:ind w:left="720"/>
      <w:contextualSpacing/>
    </w:pPr>
  </w:style>
  <w:style w:type="character" w:customStyle="1" w:styleId="37">
    <w:name w:val="Intense Emphasis"/>
    <w:basedOn w:val="19"/>
    <w:autoRedefine/>
    <w:qFormat/>
    <w:uiPriority w:val="21"/>
    <w:rPr>
      <w:i/>
      <w:iCs/>
      <w:color w:val="2F5597" w:themeColor="accent1" w:themeShade="BF"/>
    </w:rPr>
  </w:style>
  <w:style w:type="paragraph" w:styleId="38">
    <w:name w:val="Intense Quote"/>
    <w:basedOn w:val="1"/>
    <w:next w:val="1"/>
    <w:link w:val="39"/>
    <w:autoRedefine/>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9">
    <w:name w:val="明显引用 字符"/>
    <w:basedOn w:val="19"/>
    <w:link w:val="38"/>
    <w:autoRedefine/>
    <w:qFormat/>
    <w:uiPriority w:val="30"/>
    <w:rPr>
      <w:i/>
      <w:iCs/>
      <w:color w:val="2F5597" w:themeColor="accent1" w:themeShade="BF"/>
    </w:rPr>
  </w:style>
  <w:style w:type="character" w:customStyle="1" w:styleId="40">
    <w:name w:val="Intense Reference"/>
    <w:basedOn w:val="19"/>
    <w:autoRedefine/>
    <w:qFormat/>
    <w:uiPriority w:val="32"/>
    <w:rPr>
      <w:b/>
      <w:bCs/>
      <w:smallCaps/>
      <w:color w:val="2F5597" w:themeColor="accent1" w:themeShade="BF"/>
      <w:spacing w:val="5"/>
    </w:rPr>
  </w:style>
  <w:style w:type="character" w:customStyle="1" w:styleId="41">
    <w:name w:val="Unresolved Mention"/>
    <w:basedOn w:val="19"/>
    <w:autoRedefine/>
    <w:semiHidden/>
    <w:unhideWhenUsed/>
    <w:qFormat/>
    <w:uiPriority w:val="99"/>
    <w:rPr>
      <w:color w:val="605E5C"/>
      <w:shd w:val="clear" w:color="auto" w:fill="E1DFDD"/>
    </w:rPr>
  </w:style>
  <w:style w:type="paragraph" w:customStyle="1" w:styleId="42">
    <w:name w:val="公式"/>
    <w:basedOn w:val="1"/>
    <w:link w:val="43"/>
    <w:autoRedefine/>
    <w:qFormat/>
    <w:uiPriority w:val="0"/>
    <w:pPr>
      <w:tabs>
        <w:tab w:val="center" w:pos="4630"/>
        <w:tab w:val="right" w:pos="8301"/>
      </w:tabs>
      <w:jc w:val="right"/>
      <w:textAlignment w:val="center"/>
    </w:pPr>
  </w:style>
  <w:style w:type="character" w:customStyle="1" w:styleId="43">
    <w:name w:val="公式 字符"/>
    <w:basedOn w:val="19"/>
    <w:link w:val="42"/>
    <w:autoRedefine/>
    <w:qFormat/>
    <w:uiPriority w:val="0"/>
    <w:rPr>
      <w:rFonts w:ascii="Times New Roman" w:hAnsi="Times New Roman" w:eastAsia="宋体"/>
      <w:sz w:val="24"/>
    </w:rPr>
  </w:style>
  <w:style w:type="character" w:styleId="44">
    <w:name w:val="Placeholder Text"/>
    <w:basedOn w:val="19"/>
    <w:autoRedefine/>
    <w:semiHidden/>
    <w:qFormat/>
    <w:uiPriority w:val="99"/>
    <w:rPr>
      <w:color w:val="666666"/>
    </w:rPr>
  </w:style>
  <w:style w:type="character" w:customStyle="1" w:styleId="45">
    <w:name w:val="批注文字 字符"/>
    <w:basedOn w:val="19"/>
    <w:link w:val="11"/>
    <w:autoRedefine/>
    <w:qFormat/>
    <w:uiPriority w:val="99"/>
    <w:rPr>
      <w:rFonts w:eastAsia="宋体"/>
      <w:sz w:val="24"/>
    </w:rPr>
  </w:style>
  <w:style w:type="character" w:customStyle="1" w:styleId="46">
    <w:name w:val="批注主题 字符"/>
    <w:basedOn w:val="45"/>
    <w:link w:val="17"/>
    <w:autoRedefine/>
    <w:semiHidden/>
    <w:qFormat/>
    <w:uiPriority w:val="99"/>
    <w:rPr>
      <w:rFonts w:eastAsia="宋体"/>
      <w:b/>
      <w:bCs/>
      <w:sz w:val="24"/>
    </w:rPr>
  </w:style>
  <w:style w:type="character" w:customStyle="1" w:styleId="47">
    <w:name w:val="页眉 字符"/>
    <w:basedOn w:val="19"/>
    <w:link w:val="13"/>
    <w:autoRedefine/>
    <w:qFormat/>
    <w:uiPriority w:val="99"/>
    <w:rPr>
      <w:rFonts w:eastAsia="宋体"/>
      <w:sz w:val="18"/>
      <w:szCs w:val="18"/>
    </w:rPr>
  </w:style>
  <w:style w:type="character" w:customStyle="1" w:styleId="48">
    <w:name w:val="页脚 字符"/>
    <w:basedOn w:val="19"/>
    <w:link w:val="12"/>
    <w:autoRedefine/>
    <w:qFormat/>
    <w:uiPriority w:val="99"/>
    <w:rPr>
      <w:rFonts w:eastAsia="宋体"/>
      <w:sz w:val="18"/>
      <w:szCs w:val="18"/>
    </w:rPr>
  </w:style>
  <w:style w:type="character" w:customStyle="1" w:styleId="49">
    <w:name w:val="MTConvertedEquation"/>
    <w:basedOn w:val="19"/>
    <w:autoRedefine/>
    <w:qFormat/>
    <w:uiPriority w:val="0"/>
  </w:style>
  <w:style w:type="paragraph" w:styleId="50">
    <w:name w:val="No Spacing"/>
    <w:autoRedefine/>
    <w:qFormat/>
    <w:uiPriority w:val="1"/>
    <w:pPr>
      <w:widowControl w:val="0"/>
      <w:spacing w:after="0" w:line="240" w:lineRule="auto"/>
      <w:ind w:firstLine="200" w:firstLineChars="200"/>
    </w:pPr>
    <w:rPr>
      <w:rFonts w:ascii="Times New Roman" w:hAnsi="Times New Roman" w:eastAsia="宋体" w:cstheme="minorBidi"/>
      <w:kern w:val="2"/>
      <w:sz w:val="24"/>
      <w:szCs w:val="24"/>
      <w:lang w:val="en-US" w:eastAsia="zh-CN"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07D560-41D6-420B-89D7-05D7BF1CBAB1}">
  <ds:schemaRefs/>
</ds:datastoreItem>
</file>

<file path=docProps/app.xml><?xml version="1.0" encoding="utf-8"?>
<Properties xmlns="http://schemas.openxmlformats.org/officeDocument/2006/extended-properties" xmlns:vt="http://schemas.openxmlformats.org/officeDocument/2006/docPropsVTypes">
  <Template>Normal</Template>
  <Pages>13</Pages>
  <Words>3585</Words>
  <Characters>4625</Characters>
  <Lines>165</Lines>
  <Paragraphs>97</Paragraphs>
  <TotalTime>3</TotalTime>
  <ScaleCrop>false</ScaleCrop>
  <LinksUpToDate>false</LinksUpToDate>
  <CharactersWithSpaces>8113</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2026-03-17T13:05:00Z</dcterms:created>
  <dc:creator>Lenovo</dc:creator>
  <cp:lastModifiedBy>黄咏杰</cp:lastModifiedBy>
  <dcterms:modified xsi:type="dcterms:W3CDTF">2026-06-25T00:56:40Z</dcterms:modified>
  <cp:revision>364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2052-12.1.0.16120</vt:lpwstr>
  </property>
  <property fmtid="{D5CDD505-2E9C-101B-9397-08002B2CF9AE}" pid="4" name="ICV">
    <vt:lpwstr>0F4AEA83B26940CDB782E74FC0C8A9AD_12</vt:lpwstr>
  </property>
</Properties>
</file>