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240" w:after="80"/>
        <w:ind w:firstLine="0"/>
        <w:jc w:val="center"/>
        <w:rPr>
          <w:rFonts w:ascii="Times New Roman" w:hAnsi="Times New Roman" w:eastAsia="黑体"/>
          <w:b/>
          <w:sz w:val="30"/>
        </w:rPr>
      </w:pPr>
      <w:r>
        <w:rPr>
          <w:rFonts w:ascii="Times New Roman" w:hAnsi="Times New Roman" w:eastAsia="黑体"/>
          <w:b/>
          <w:sz w:val="30"/>
        </w:rPr>
        <w:t>基于关键点几何表征与几何主导融合的</w:t>
      </w:r>
    </w:p>
    <w:p>
      <w:pPr>
        <w:pStyle w:val="2"/>
        <w:spacing w:before="240" w:after="80"/>
        <w:ind w:firstLine="0"/>
        <w:jc w:val="center"/>
      </w:pPr>
      <w:r>
        <w:rPr>
          <w:rFonts w:ascii="Times New Roman" w:hAnsi="Times New Roman" w:eastAsia="黑体"/>
          <w:b/>
          <w:sz w:val="30"/>
        </w:rPr>
        <w:t>ISAR图像GSD估计方法研究</w:t>
      </w:r>
    </w:p>
    <w:p>
      <w:pPr>
        <w:pStyle w:val="15"/>
        <w:keepNext w:val="0"/>
        <w:keepLines w:val="0"/>
        <w:widowControl/>
        <w:suppressLineNumbers w:val="0"/>
        <w:spacing w:beforeAutospacing="1"/>
        <w:rPr>
          <w:highlight w:val="none"/>
        </w:rPr>
      </w:pPr>
      <w:r>
        <w:rPr>
          <w:rFonts w:hint="eastAsia" w:ascii="Times New Roman" w:hAnsi="Times New Roman" w:eastAsia="宋体"/>
          <w:sz w:val="24"/>
          <w:highlight w:val="none"/>
        </w:rPr>
        <w:t>摘要： 逆合成孔径雷达（ISAR）图像能够反映空间目标的散射结构与几何投影信息，在空间目标识别、尺度归一化和跨分辨率分析等应用中，准确获得图像的物理空间分辨率（Spatial Resolution）以实现高精度横向定标具有重要意义。然而，在实际成像与数据构建过程中，不同分辨率条件会改变目标在图像中的投影尺度，尤其当测试图像的真实分辨率属于训练阶段未出现的尺度档位时，单纯依赖卷积网络回归或热力图估计容易受到已见分辨率分布的影响，导致模型在未见分辨率（Unseen Resolution）条件下的泛化能力不足。针对上述问题，本文拟构建一种目标典型部件特征点几何表征与多分支联合估计相结合的 ISAR 图像横向定标框架。该框架首先利用共享特征提取网络获得图像表征，并通过网络回归分支和 X 方向热力图分支形成数据驱动的学习型尺度估计；随后引入典型部件特征点几何估计分支，将目标典型部件特征点（如帆板端点）转化为横向跨度、主轴长度和长宽比例等几何尺度表征；在此基础上，结合分辨率分类置信度、已见置信度判断和分支一致性判断，构建几何主导融合策略，使最终定标结果在保留学习型分支拟合能力的同时，更充分利用几何分支在未见分辨率上的跨尺度泛化优势。实验结果表明，学习型分支在已见分辨率数据上表现较好，而几何分支在未见分辨率上具有更强泛化能力；当采用“几何分支 90% + 网络回归与热力图学习型主线 10%”的几何主导融合时，未见分辨率准确率达到 0.8781，显著优于原学习型主线的预测性能。</w:t>
      </w:r>
    </w:p>
    <w:p>
      <w:pPr>
        <w:spacing w:before="0" w:after="0" w:line="360" w:lineRule="auto"/>
        <w:ind w:firstLine="0"/>
      </w:pPr>
      <w:r>
        <w:rPr>
          <w:rFonts w:ascii="Times New Roman" w:hAnsi="Times New Roman" w:eastAsia="宋体"/>
          <w:b/>
          <w:sz w:val="24"/>
        </w:rPr>
        <w:t>关键词</w:t>
      </w:r>
      <w:r>
        <w:rPr>
          <w:rFonts w:ascii="Times New Roman" w:hAnsi="Times New Roman" w:eastAsia="宋体"/>
          <w:sz w:val="24"/>
        </w:rPr>
        <w:t>：ISAR图像、</w:t>
      </w:r>
      <w:r>
        <w:rPr>
          <w:rFonts w:hint="eastAsia" w:ascii="Times New Roman" w:hAnsi="Times New Roman" w:eastAsia="宋体"/>
          <w:sz w:val="24"/>
        </w:rPr>
        <w:t>横向定标</w:t>
      </w:r>
      <w:r>
        <w:rPr>
          <w:rFonts w:ascii="Times New Roman" w:hAnsi="Times New Roman" w:eastAsia="宋体"/>
          <w:sz w:val="24"/>
        </w:rPr>
        <w:t>、未见分辨率、关键点几何表征、多分支融合、几何主导融合</w:t>
      </w:r>
    </w:p>
    <w:p>
      <w:pPr>
        <w:spacing w:line="240" w:lineRule="auto"/>
        <w:ind w:firstLine="0"/>
      </w:pPr>
    </w:p>
    <w:p>
      <w:pPr>
        <w:pStyle w:val="2"/>
        <w:spacing w:before="240" w:after="80"/>
        <w:ind w:firstLine="0"/>
        <w:jc w:val="left"/>
      </w:pPr>
      <w:r>
        <w:rPr>
          <w:rFonts w:ascii="Times New Roman" w:hAnsi="Times New Roman" w:eastAsia="黑体"/>
          <w:b/>
          <w:sz w:val="30"/>
        </w:rPr>
        <w:t>1引言</w:t>
      </w:r>
    </w:p>
    <w:p>
      <w:pPr>
        <w:spacing w:before="0" w:after="0" w:line="360" w:lineRule="auto"/>
        <w:ind w:firstLine="480"/>
        <w:rPr>
          <w:highlight w:val="none"/>
        </w:rPr>
      </w:pPr>
      <w:r>
        <w:rPr>
          <w:rFonts w:hint="eastAsia" w:ascii="Times New Roman" w:hAnsi="Times New Roman" w:eastAsia="宋体"/>
          <w:sz w:val="24"/>
          <w:highlight w:val="yellow"/>
        </w:rPr>
        <w:t>在实际的空间态势感知（SSA）中，往往面临“目标型号已知，但动态运动状态未知”的非合作探测场景。 对于这类缺乏实时动态遥测参数的非合作空间目标，ISAR 图像能够在全天时、全天候条件下反映目标的电磁散射结构，是对其进行状态估计和精细化解译的重要数据来源。然而，ISAR 的成像机理决定了其横向（方位向）分辨率高度依赖于目标未知的相对旋转角速度，导致图像像素尺度缺乏绝对的物理度量。在实际应用中，不同成像距离、观测条件和图像生成参数会导致目标呈现多变的空间分辨率尺度。在此背景下，实现高精度横向定标（即准确获得图像的物理空间分辨率）具有不可替代的学术与工程意义</w:t>
      </w:r>
      <w:r>
        <w:rPr>
          <w:rFonts w:hint="eastAsia"/>
          <w:sz w:val="24"/>
          <w:highlight w:val="yellow"/>
          <w:lang w:eastAsia="zh-CN"/>
        </w:rPr>
        <w:t>。</w:t>
      </w:r>
      <w:r>
        <w:rPr>
          <w:rFonts w:hint="eastAsia" w:ascii="Times New Roman" w:hAnsi="Times New Roman" w:eastAsia="宋体"/>
          <w:sz w:val="24"/>
          <w:highlight w:val="none"/>
        </w:rPr>
        <w:t>在实际应用中，不同成像距离、观测条件和图像生成参数会导致目标呈现不同的空间分辨率尺度。如果不能准确获得图像的物理空间分辨率（即实现高精度横向定标），后续的目标尺度归一化、跨分辨率匹配、目标识别和多源图像对比都会受到严重影响。</w:t>
      </w:r>
      <w:r>
        <w:rPr>
          <w:rFonts w:hint="eastAsia" w:ascii="Times New Roman" w:hAnsi="Times New Roman" w:eastAsia="宋体"/>
          <w:sz w:val="24"/>
          <w:highlight w:val="yellow"/>
        </w:rPr>
        <w:t>因此，本文需要解决的核心问题是：在仅输入单幅 ISAR 图像的条件下，如何准确实现横向定标，尤其是在测试阶段出现训练集中未包含的分辨率档位（Unseen Resolution）时，仍然保持稳定的定标估计能力。</w:t>
      </w:r>
    </w:p>
    <w:p>
      <w:pPr>
        <w:spacing w:before="0" w:after="0" w:line="360" w:lineRule="auto"/>
        <w:ind w:firstLine="480"/>
        <w:rPr>
          <w:highlight w:val="none"/>
        </w:rPr>
      </w:pPr>
      <w:r>
        <w:rPr>
          <w:rFonts w:hint="eastAsia" w:ascii="Times New Roman" w:hAnsi="Times New Roman" w:eastAsia="宋体"/>
          <w:sz w:val="24"/>
          <w:highlight w:val="none"/>
        </w:rPr>
        <w:t>从问题本质上看，ISAR 图像的横向定标并不是简单的图像分类问题，而是与目标投影尺度密切相关的连续尺度估计问题。本文数据中的分辨率变化主要体现为目标横向投影尺度的变化，而目标类别、结构形态和观测姿态又会共同影响图像中可见的尺度特征。现有基于卷积网络回归或热力图估计的深度学习方法虽然能够在已见分辨率（Seen Resolution）档位上取得较好结果，但极易学习到训练集中已有分辨率档位的外观先验分布。当未见分辨率位于两个已见档位之间时，模型预测结果容易向相邻的已见档位偏移，导致在未见尺度条件下的泛化能力严重不足。</w:t>
      </w:r>
    </w:p>
    <w:p>
      <w:pPr>
        <w:spacing w:before="0" w:after="0" w:line="360" w:lineRule="auto"/>
        <w:ind w:firstLine="480"/>
      </w:pPr>
      <w:r>
        <w:rPr>
          <w:rFonts w:hint="eastAsia" w:ascii="Times New Roman" w:hAnsi="Times New Roman" w:eastAsia="宋体"/>
          <w:sz w:val="24"/>
          <w:highlight w:val="yellow"/>
        </w:rPr>
        <w:t>针对上述问题，本文提出一种基于目标典型部件特征点几何表征与几何主导融合的 ISAR 图像联合尺度估计（横向定标）方法。该方法首先利用共享特征提取网络获取 ISAR 图像的全局视觉表征，并通过网络回归分支与 X 方向热力图分支建立数据驱动的学习型尺度估计主线；随后，引入卫星类别辅助和典型部件特征点（如帆板端点）估计，使模型能够显式感知目标类别差异和结构关键位置；在此基础上，将特征点进一步转化为横向跨度、纵向跨度、主轴长度、副轴长度、面积和方向等几何表征，并通过可学习映射得到物理几何约束下的定标因子；最后，结合已见置信度、分支一致性和分辨率分类置信度，构建几何主导融合策略，使模型在已见分辨率上保留学习型分支的优异拟合能力，而在未见分辨率上则更多依赖具有物理结构尺度依据的几何分支。</w:t>
      </w:r>
    </w:p>
    <w:p>
      <w:pPr>
        <w:spacing w:before="0" w:after="0" w:line="360" w:lineRule="auto"/>
        <w:ind w:firstLine="480"/>
        <w:rPr>
          <w:highlight w:val="none"/>
        </w:rPr>
      </w:pPr>
      <w:r>
        <w:rPr>
          <w:rFonts w:hint="eastAsia" w:ascii="Times New Roman" w:hAnsi="Times New Roman" w:eastAsia="宋体"/>
          <w:sz w:val="24"/>
          <w:highlight w:val="none"/>
        </w:rPr>
        <w:t>基于上述理解，本文的研究重点不再是单纯提高已见样本上的回归精度，而是验证物理几何先验信息能否有效打破学习型分支对已见分辨率分布的依赖，并进一步探究在不同分支预测不一致时应如何自适应分配学习型分支与几何分支的权重。实验结果显示，传统数据驱动的学习型主线在已见分辨率上表现较强，而几何分支在未见分辨率上具有更明显的跨尺度泛化优势。基于该观察，本文进一步提出几何主导融合策略，使最终预测结果更多依赖泛化能力更强的几何分支，同时保留学习型分支作为辅助校正。</w:t>
      </w:r>
    </w:p>
    <w:p>
      <w:pPr>
        <w:spacing w:before="0" w:after="0" w:line="360" w:lineRule="auto"/>
        <w:ind w:firstLine="480"/>
      </w:pPr>
      <w:r>
        <w:rPr>
          <w:rFonts w:ascii="Times New Roman" w:hAnsi="Times New Roman" w:eastAsia="宋体"/>
          <w:sz w:val="24"/>
        </w:rPr>
        <w:t>总的来说，本文的主要贡献如下：</w:t>
      </w:r>
    </w:p>
    <w:p>
      <w:pPr>
        <w:spacing w:before="0" w:after="0" w:line="360" w:lineRule="auto"/>
        <w:ind w:firstLine="480"/>
        <w:rPr>
          <w:highlight w:val="none"/>
        </w:rPr>
      </w:pPr>
      <w:r>
        <w:rPr>
          <w:rFonts w:ascii="Times New Roman" w:hAnsi="Times New Roman" w:eastAsia="宋体"/>
          <w:sz w:val="24"/>
          <w:highlight w:val="none"/>
        </w:rPr>
        <w:t>（1）</w:t>
      </w:r>
      <w:r>
        <w:rPr>
          <w:rFonts w:hint="eastAsia" w:ascii="Times New Roman" w:hAnsi="Times New Roman" w:eastAsia="宋体"/>
          <w:sz w:val="24"/>
          <w:highlight w:val="none"/>
        </w:rPr>
        <w:t>面向 ISAR 图像跨尺度分析和未见分辨率定标需求，提出一种多任务多分支横向定标框架，将网络回归、分辨率档位分类、卫星类别辅助、热力图尺度估计和典型部件特征点几何估计统一到同一端到端网络中。</w:t>
      </w:r>
    </w:p>
    <w:p>
      <w:pPr>
        <w:spacing w:before="0" w:after="0" w:line="360" w:lineRule="auto"/>
        <w:ind w:firstLine="480"/>
        <w:rPr>
          <w:highlight w:val="none"/>
        </w:rPr>
      </w:pPr>
      <w:r>
        <w:rPr>
          <w:rFonts w:ascii="Times New Roman" w:hAnsi="Times New Roman" w:eastAsia="宋体"/>
          <w:sz w:val="24"/>
          <w:highlight w:val="none"/>
        </w:rPr>
        <w:t>（2）</w:t>
      </w:r>
      <w:r>
        <w:rPr>
          <w:rFonts w:hint="eastAsia" w:ascii="Times New Roman" w:hAnsi="Times New Roman" w:eastAsia="宋体"/>
          <w:sz w:val="24"/>
          <w:highlight w:val="none"/>
        </w:rPr>
        <w:t>引入特征点引导的几何尺度估计分支，将目标结构特征点转化为横向跨度、主轴长度、长宽比例和主方向等几何物理表征，从结构尺度机理的角度显著增强了模型对未见分辨率的泛化能力。</w:t>
      </w:r>
    </w:p>
    <w:p>
      <w:pPr>
        <w:spacing w:before="0" w:after="0" w:line="360" w:lineRule="auto"/>
        <w:ind w:firstLine="480"/>
        <w:rPr>
          <w:highlight w:val="none"/>
        </w:rPr>
      </w:pPr>
      <w:r>
        <w:rPr>
          <w:rFonts w:ascii="Times New Roman" w:hAnsi="Times New Roman" w:eastAsia="宋体"/>
          <w:sz w:val="24"/>
          <w:highlight w:val="none"/>
        </w:rPr>
        <w:t>（3）</w:t>
      </w:r>
      <w:r>
        <w:rPr>
          <w:rFonts w:hint="eastAsia" w:ascii="Times New Roman" w:hAnsi="Times New Roman" w:eastAsia="宋体"/>
          <w:sz w:val="24"/>
          <w:highlight w:val="none"/>
        </w:rPr>
        <w:t>围绕学习型分支、几何分支和不同融合策略设计了系统的消融实验，并提出几何主导融合思想。实验表明，在未见分辨率条件下，几何主导融合策略显著优于传统学习型主线和常规可靠性融合。</w:t>
      </w:r>
    </w:p>
    <w:p>
      <w:pPr>
        <w:spacing w:line="240" w:lineRule="auto"/>
        <w:ind w:firstLine="0"/>
      </w:pPr>
    </w:p>
    <w:p>
      <w:pPr>
        <w:pStyle w:val="2"/>
        <w:spacing w:before="240" w:after="80"/>
        <w:ind w:firstLine="0"/>
        <w:jc w:val="left"/>
      </w:pPr>
      <w:r>
        <w:rPr>
          <w:rFonts w:ascii="Times New Roman" w:hAnsi="Times New Roman" w:eastAsia="黑体"/>
          <w:b/>
          <w:sz w:val="30"/>
        </w:rPr>
        <w:t>2方法论</w:t>
      </w:r>
    </w:p>
    <w:p>
      <w:pPr>
        <w:ind w:firstLine="0"/>
        <w:jc w:val="center"/>
      </w:pPr>
    </w:p>
    <w:p>
      <w:pPr>
        <w:pStyle w:val="15"/>
        <w:keepNext w:val="0"/>
        <w:keepLines w:val="0"/>
        <w:widowControl/>
        <w:suppressLineNumbers w:val="0"/>
        <w:spacing w:beforeAutospacing="1"/>
      </w:pPr>
      <w:r>
        <w:drawing>
          <wp:inline distT="0" distB="0" distL="114300" distR="114300">
            <wp:extent cx="4961255" cy="281686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2"/>
                    <a:srcRect t="5990" b="18311"/>
                    <a:stretch>
                      <a:fillRect/>
                    </a:stretch>
                  </pic:blipFill>
                  <pic:spPr>
                    <a:xfrm>
                      <a:off x="0" y="0"/>
                      <a:ext cx="4961255" cy="2816860"/>
                    </a:xfrm>
                    <a:prstGeom prst="rect">
                      <a:avLst/>
                    </a:prstGeom>
                    <a:noFill/>
                    <a:ln w="9525">
                      <a:noFill/>
                    </a:ln>
                  </pic:spPr>
                </pic:pic>
              </a:graphicData>
            </a:graphic>
          </wp:inline>
        </w:drawing>
      </w:r>
    </w:p>
    <w:p>
      <w:pPr>
        <w:ind w:firstLine="0"/>
        <w:jc w:val="center"/>
        <w:rPr>
          <w:rFonts w:hint="eastAsia" w:eastAsia="宋体"/>
          <w:lang w:eastAsia="zh-CN"/>
        </w:rPr>
      </w:pPr>
    </w:p>
    <w:p>
      <w:pPr>
        <w:ind w:firstLine="0"/>
        <w:jc w:val="center"/>
      </w:pPr>
    </w:p>
    <w:p>
      <w:pPr>
        <w:pStyle w:val="3"/>
        <w:spacing w:before="120" w:after="0" w:line="276" w:lineRule="auto"/>
        <w:ind w:firstLine="0"/>
        <w:jc w:val="left"/>
      </w:pPr>
      <w:r>
        <w:rPr>
          <w:rFonts w:ascii="Times New Roman" w:hAnsi="Times New Roman" w:eastAsia="黑体"/>
          <w:b/>
          <w:sz w:val="24"/>
        </w:rPr>
        <w:t>A. 整体网络框架</w:t>
      </w:r>
    </w:p>
    <w:p>
      <w:pPr>
        <w:spacing w:before="0" w:after="0" w:line="360" w:lineRule="auto"/>
        <w:ind w:firstLine="480"/>
        <w:rPr>
          <w:highlight w:val="none"/>
        </w:rPr>
      </w:pPr>
      <w:r>
        <w:rPr>
          <w:rFonts w:ascii="Times New Roman" w:hAnsi="Times New Roman" w:eastAsia="宋体"/>
          <w:sz w:val="24"/>
          <w:highlight w:val="none"/>
        </w:rPr>
        <w:t>本文拟构建的 ISAR 图像 GSD 估计网络由共享特征提取主干、学习型尺度估计分支、卫星类别辅助分支、关键点几何分支和多分支融合模块组成。输入为单幅 ISAR 图像，首先通过共享骨干网络提取全局视觉特征，随后分别送入多个任务分支，得到网络回归估计、热力图尺度估计、卫星类别辅助信息以及关键点结构表征。</w:t>
      </w:r>
    </w:p>
    <w:p>
      <w:pPr>
        <w:spacing w:before="0" w:after="0" w:line="360" w:lineRule="auto"/>
        <w:ind w:firstLine="480"/>
      </w:pPr>
      <w:r>
        <w:rPr>
          <w:rFonts w:ascii="Times New Roman" w:hAnsi="Times New Roman" w:eastAsia="宋体"/>
          <w:sz w:val="24"/>
        </w:rPr>
        <w:t>与单一回归网络不同，本文框架并不只依赖一个预测头输出GSD，而是同时得到网络回归估计、热力图尺度估计和几何尺度估计三个结果。最终预测由融合模块根据不同分支的可靠性进行组合，从而兼顾已见GSD上的拟合能力和未见GSD上的泛化能力。</w:t>
      </w:r>
    </w:p>
    <w:p>
      <w:pPr>
        <w:pStyle w:val="3"/>
        <w:spacing w:before="120" w:after="0" w:line="276" w:lineRule="auto"/>
        <w:ind w:firstLine="0"/>
        <w:jc w:val="left"/>
      </w:pPr>
      <w:r>
        <w:rPr>
          <w:rFonts w:ascii="Times New Roman" w:hAnsi="Times New Roman" w:eastAsia="黑体"/>
          <w:b/>
          <w:sz w:val="24"/>
        </w:rPr>
        <w:t>B. 学习型GSD估计分支</w:t>
      </w:r>
    </w:p>
    <w:p>
      <w:pPr>
        <w:spacing w:before="0" w:after="0" w:line="360" w:lineRule="auto"/>
        <w:ind w:firstLine="480"/>
      </w:pPr>
      <w:r>
        <w:rPr>
          <w:rFonts w:ascii="Times New Roman" w:hAnsi="Times New Roman" w:eastAsia="宋体"/>
          <w:sz w:val="24"/>
        </w:rPr>
        <w:t>学习型GSD估计部分主要包括普通回归分支和x方向热力图分支。回归分支直接基于共享特征输出连续GSD值，能够充分利用深层语义特征进行尺度回归。热力图分支则从x方向结构变化角度捕获尺度线索，适合描述分辨率变化带来的横向投影差异。</w:t>
      </w:r>
    </w:p>
    <w:p>
      <w:pPr>
        <w:spacing w:before="0" w:after="0" w:line="360" w:lineRule="auto"/>
        <w:ind w:firstLine="480"/>
      </w:pPr>
      <w:r>
        <w:rPr>
          <w:rFonts w:ascii="Times New Roman" w:hAnsi="Times New Roman" w:eastAsia="宋体"/>
          <w:sz w:val="24"/>
        </w:rPr>
        <w:t>这两个分支在训练集出现过的GSD档位上通常表现较好，因此可作为已见GSD条件下的主要学习型尺度估计来源。但实验发现，在未见GSD条件下，学习型分支容易受到已见档位分布影响，存在向相邻已见GSD靠拢的趋势。</w:t>
      </w:r>
    </w:p>
    <w:p>
      <w:r>
        <w:rPr>
          <w:b/>
          <w:bCs/>
        </w:rPr>
        <w:t>C. 关键点几何估计分支</w:t>
      </w:r>
    </w:p>
    <w:p>
      <w:r>
        <w:t>关键点几何估计分支的目标，是将目标结构关键点转化为能够反映尺度变化的几何表征，并在此基础上得到几何约束下的 GSD 估计值。与单纯将关键点作为辅助监督不同，该分支在预测过程中显式利用关键点所形成的结构尺度信息，使 GSD 估计不仅依赖图像外观特征，也依赖目标帆板或主体结构的几何投影关系。</w:t>
      </w:r>
    </w:p>
    <w:p>
      <w:r>
        <w:t>设某一目标结构对应的关键点集合为：</w:t>
      </w:r>
    </w:p>
    <w:p>
      <m:oMathPara>
        <m:oMathParaPr>
          <m:jc m:val="center"/>
        </m:oMathParaPr>
        <m:oMath>
          <m:r>
            <m:rPr>
              <m:sty m:val="p"/>
              <m:scr m:val="script"/>
            </m:rPr>
            <m:t>P</m:t>
          </m:r>
          <m:r>
            <m:rPr>
              <m:sty m:val="p"/>
            </m:rPr>
            <m:t>=</m:t>
          </m:r>
          <m:d>
            <m:dPr>
              <m:begChr m:val="{"/>
              <m:sepChr m:val=""/>
              <m:endChr m:val="}"/>
            </m:dPr>
            <m:e>
              <m:sSub>
                <m:sSubPr/>
                <m:e>
                  <m:r>
                    <m:rPr>
                      <m:sty m:val="b"/>
                    </m:rPr>
                    <m:t>p</m:t>
                  </m:r>
                </m:e>
                <m:sub>
                  <m:r>
                    <m:rPr/>
                    <m:t>i</m:t>
                  </m:r>
                </m:sub>
              </m:sSub>
              <m:r>
                <m:rPr>
                  <m:sty m:val="p"/>
                </m:rPr>
                <m:t>=</m:t>
              </m:r>
              <m:d>
                <m:dPr>
                  <m:sepChr m:val=""/>
                </m:dPr>
                <m:e>
                  <m:sSub>
                    <m:sSubPr/>
                    <m:e>
                      <m:r>
                        <m:rPr/>
                        <m:t>x</m:t>
                      </m:r>
                    </m:e>
                    <m:sub>
                      <m:r>
                        <m:rPr/>
                        <m:t>i</m:t>
                      </m:r>
                    </m:sub>
                  </m:sSub>
                  <m:r>
                    <m:rPr>
                      <m:sty m:val="p"/>
                    </m:rPr>
                    <m:t>,</m:t>
                  </m:r>
                  <m:sSub>
                    <m:sSubPr/>
                    <m:e>
                      <m:r>
                        <m:rPr/>
                        <m:t>y</m:t>
                      </m:r>
                    </m:e>
                    <m:sub>
                      <m:r>
                        <m:rPr/>
                        <m:t>i</m:t>
                      </m:r>
                    </m:sub>
                  </m:sSub>
                </m:e>
              </m:d>
              <m:r>
                <m:rPr>
                  <m:sty m:val="p"/>
                </m:rPr>
                <m:t>∣</m:t>
              </m:r>
              <m:r>
                <m:rPr/>
                <m:t>i</m:t>
              </m:r>
              <m:r>
                <m:rPr>
                  <m:sty m:val="p"/>
                </m:rPr>
                <m:t>=</m:t>
              </m:r>
              <m:r>
                <m:rPr/>
                <m:t>1</m:t>
              </m:r>
              <m:r>
                <m:rPr>
                  <m:sty m:val="p"/>
                </m:rPr>
                <m:t>,</m:t>
              </m:r>
              <m:r>
                <m:rPr/>
                <m:t>2</m:t>
              </m:r>
              <m:r>
                <m:rPr>
                  <m:sty m:val="p"/>
                </m:rPr>
                <m:t>,…,</m:t>
              </m:r>
              <m:r>
                <m:rPr/>
                <m:t>m</m:t>
              </m:r>
            </m:e>
          </m:d>
          <m:r>
            <m:rPr/>
            <m:t>  </m:t>
          </m:r>
          <m:d>
            <m:dPr>
              <m:sepChr m:val=""/>
            </m:dPr>
            <m:e>
              <m:r>
                <m:rPr/>
                <m:t>1</m:t>
              </m:r>
            </m:e>
          </m:d>
        </m:oMath>
      </m:oMathPara>
    </w:p>
    <w:p>
      <w:r>
        <w:t>其中，</w:t>
      </w:r>
      <m:oMath>
        <m:r>
          <m:rPr/>
          <m:t>m</m:t>
        </m:r>
      </m:oMath>
      <w:r>
        <w:t xml:space="preserve"> 表示参与几何计算的关键点数量，</w:t>
      </w:r>
      <m:oMath>
        <m:sSub>
          <m:sSubPr/>
          <m:e>
            <m:r>
              <m:rPr/>
              <m:t>x</m:t>
            </m:r>
          </m:e>
          <m:sub>
            <m:r>
              <m:rPr/>
              <m:t>i</m:t>
            </m:r>
          </m:sub>
        </m:sSub>
      </m:oMath>
      <w:r>
        <w:t xml:space="preserve"> 和 </w:t>
      </w:r>
      <m:oMath>
        <m:sSub>
          <m:sSubPr/>
          <m:e>
            <m:r>
              <m:rPr/>
              <m:t>y</m:t>
            </m:r>
          </m:e>
          <m:sub>
            <m:r>
              <m:rPr/>
              <m:t>i</m:t>
            </m:r>
          </m:sub>
        </m:sSub>
      </m:oMath>
      <w:r>
        <w:t xml:space="preserve"> 分别表示第 </w:t>
      </w:r>
      <m:oMath>
        <m:r>
          <m:rPr/>
          <m:t>i</m:t>
        </m:r>
      </m:oMath>
      <w:r>
        <w:t xml:space="preserve"> 个关键点在图像坐标系中的横向坐标和纵向坐标。对于 Aura 目标，本文采用单个帆板结构的四个角点进行计算；对于 TG 目标，本文将八个角点划分为两个帆板结构，分别计算几何表征后再进行融合。</w:t>
      </w:r>
    </w:p>
    <w:p>
      <w:r>
        <w:t>首先，为描述目标结构在图像横向和纵向上的投影尺度，计算关键点外接范围的横向跨度和纵向跨度：</w:t>
      </w:r>
    </w:p>
    <w:p>
      <m:oMathPara>
        <m:oMathParaPr>
          <m:jc m:val="center"/>
        </m:oMathParaPr>
        <m:oMath>
          <m:sSub>
            <m:sSubPr/>
            <m:e>
              <m:r>
                <m:rPr/>
                <m:t>S</m:t>
              </m:r>
            </m:e>
            <m:sub>
              <m:r>
                <m:rPr/>
                <m:t>x</m:t>
              </m:r>
            </m:sub>
          </m:sSub>
          <m:r>
            <m:rPr>
              <m:sty m:val="p"/>
            </m:rPr>
            <m:t>=</m:t>
          </m:r>
          <m:limLow>
            <m:limLowPr/>
            <m:e>
              <m:r>
                <m:rPr>
                  <m:sty m:val="p"/>
                </m:rPr>
                <m:t>max</m:t>
              </m:r>
            </m:e>
            <m:lim>
              <m:r>
                <m:rPr/>
                <m:t>1</m:t>
              </m:r>
              <m:r>
                <m:rPr>
                  <m:sty m:val="p"/>
                </m:rPr>
                <m:t>≤</m:t>
              </m:r>
              <m:r>
                <m:rPr/>
                <m:t>i</m:t>
              </m:r>
              <m:r>
                <m:rPr>
                  <m:sty m:val="p"/>
                </m:rPr>
                <m:t>≤</m:t>
              </m:r>
              <m:r>
                <m:rPr/>
                <m:t>m</m:t>
              </m:r>
            </m:lim>
          </m:limLow>
          <m:sSub>
            <m:sSubPr/>
            <m:e>
              <m:r>
                <m:rPr/>
                <m:t>x</m:t>
              </m:r>
            </m:e>
            <m:sub>
              <m:r>
                <m:rPr/>
                <m:t>i</m:t>
              </m:r>
            </m:sub>
          </m:sSub>
          <m:r>
            <m:rPr>
              <m:sty m:val="p"/>
            </m:rPr>
            <m:t>−</m:t>
          </m:r>
          <m:limLow>
            <m:limLowPr/>
            <m:e>
              <m:r>
                <m:rPr>
                  <m:sty m:val="p"/>
                </m:rPr>
                <m:t>min</m:t>
              </m:r>
            </m:e>
            <m:lim>
              <m:r>
                <m:rPr/>
                <m:t>1</m:t>
              </m:r>
              <m:r>
                <m:rPr>
                  <m:sty m:val="p"/>
                </m:rPr>
                <m:t>≤</m:t>
              </m:r>
              <m:r>
                <m:rPr/>
                <m:t>i</m:t>
              </m:r>
              <m:r>
                <m:rPr>
                  <m:sty m:val="p"/>
                </m:rPr>
                <m:t>≤</m:t>
              </m:r>
              <m:r>
                <m:rPr/>
                <m:t>m</m:t>
              </m:r>
            </m:lim>
          </m:limLow>
          <m:sSub>
            <m:sSubPr/>
            <m:e>
              <m:r>
                <m:rPr/>
                <m:t>x</m:t>
              </m:r>
            </m:e>
            <m:sub>
              <m:r>
                <m:rPr/>
                <m:t>i</m:t>
              </m:r>
            </m:sub>
          </m:sSub>
          <m:r>
            <m:rPr>
              <m:sty m:val="p"/>
            </m:rPr>
            <m:t>,</m:t>
          </m:r>
          <m:r>
            <m:rPr/>
            <m:t>  </m:t>
          </m:r>
          <m:sSub>
            <m:sSubPr/>
            <m:e>
              <m:r>
                <m:rPr/>
                <m:t>S</m:t>
              </m:r>
            </m:e>
            <m:sub>
              <m:r>
                <m:rPr/>
                <m:t>y</m:t>
              </m:r>
            </m:sub>
          </m:sSub>
          <m:r>
            <m:rPr>
              <m:sty m:val="p"/>
            </m:rPr>
            <m:t>=</m:t>
          </m:r>
          <m:limLow>
            <m:limLowPr/>
            <m:e>
              <m:r>
                <m:rPr>
                  <m:sty m:val="p"/>
                </m:rPr>
                <m:t>max</m:t>
              </m:r>
            </m:e>
            <m:lim>
              <m:r>
                <m:rPr/>
                <m:t>1</m:t>
              </m:r>
              <m:r>
                <m:rPr>
                  <m:sty m:val="p"/>
                </m:rPr>
                <m:t>≤</m:t>
              </m:r>
              <m:r>
                <m:rPr/>
                <m:t>i</m:t>
              </m:r>
              <m:r>
                <m:rPr>
                  <m:sty m:val="p"/>
                </m:rPr>
                <m:t>≤</m:t>
              </m:r>
              <m:r>
                <m:rPr/>
                <m:t>m</m:t>
              </m:r>
            </m:lim>
          </m:limLow>
          <m:sSub>
            <m:sSubPr/>
            <m:e>
              <m:r>
                <m:rPr/>
                <m:t>y</m:t>
              </m:r>
            </m:e>
            <m:sub>
              <m:r>
                <m:rPr/>
                <m:t>i</m:t>
              </m:r>
            </m:sub>
          </m:sSub>
          <m:r>
            <m:rPr>
              <m:sty m:val="p"/>
            </m:rPr>
            <m:t>−</m:t>
          </m:r>
          <m:limLow>
            <m:limLowPr/>
            <m:e>
              <m:r>
                <m:rPr>
                  <m:sty m:val="p"/>
                </m:rPr>
                <m:t>min</m:t>
              </m:r>
            </m:e>
            <m:lim>
              <m:r>
                <m:rPr/>
                <m:t>1</m:t>
              </m:r>
              <m:r>
                <m:rPr>
                  <m:sty m:val="p"/>
                </m:rPr>
                <m:t>≤</m:t>
              </m:r>
              <m:r>
                <m:rPr/>
                <m:t>i</m:t>
              </m:r>
              <m:r>
                <m:rPr>
                  <m:sty m:val="p"/>
                </m:rPr>
                <m:t>≤</m:t>
              </m:r>
              <m:r>
                <m:rPr/>
                <m:t>m</m:t>
              </m:r>
            </m:lim>
          </m:limLow>
          <m:sSub>
            <m:sSubPr/>
            <m:e>
              <m:r>
                <m:rPr/>
                <m:t>y</m:t>
              </m:r>
            </m:e>
            <m:sub>
              <m:r>
                <m:rPr/>
                <m:t>i</m:t>
              </m:r>
            </m:sub>
          </m:sSub>
          <m:r>
            <m:rPr/>
            <m:t>  </m:t>
          </m:r>
          <m:d>
            <m:dPr>
              <m:sepChr m:val=""/>
            </m:dPr>
            <m:e>
              <m:r>
                <m:rPr/>
                <m:t>2</m:t>
              </m:r>
            </m:e>
          </m:d>
        </m:oMath>
      </m:oMathPara>
    </w:p>
    <w:p>
      <w:r>
        <w:t>其中，</w:t>
      </w:r>
      <m:oMath>
        <m:sSub>
          <m:sSubPr/>
          <m:e>
            <m:r>
              <m:rPr/>
              <m:t>S</m:t>
            </m:r>
          </m:e>
          <m:sub>
            <m:r>
              <m:rPr/>
              <m:t>x</m:t>
            </m:r>
          </m:sub>
        </m:sSub>
      </m:oMath>
      <w:r>
        <w:t xml:space="preserve"> 表示横向跨度，</w:t>
      </w:r>
      <m:oMath>
        <m:sSub>
          <m:sSubPr/>
          <m:e>
            <m:r>
              <m:rPr/>
              <m:t>S</m:t>
            </m:r>
          </m:e>
          <m:sub>
            <m:r>
              <m:rPr/>
              <m:t>y</m:t>
            </m:r>
          </m:sub>
        </m:sSub>
      </m:oMath>
      <w:r>
        <w:t xml:space="preserve"> 表示纵向跨度。由于本文数据中的分辨率变化主要体现在目标横向投影尺度变化上，因此横向跨度是几何分支中最直接的尺度线索。</w:t>
      </w:r>
    </w:p>
    <w:p>
      <w:r>
        <w:t>在横向跨度和纵向跨度的基础上，进一步计算结构对角尺度、外接区域面积和横向尺度可靠度：</w:t>
      </w:r>
    </w:p>
    <w:p>
      <m:oMathPara>
        <m:oMathParaPr>
          <m:jc m:val="center"/>
        </m:oMathParaPr>
        <m:oMath>
          <m:r>
            <m:rPr/>
            <m:t>D</m:t>
          </m:r>
          <m:r>
            <m:rPr>
              <m:sty m:val="p"/>
            </m:rPr>
            <m:t>=</m:t>
          </m:r>
          <m:rad>
            <m:radPr>
              <m:degHide m:val="1"/>
            </m:radPr>
            <m:deg/>
            <m:e>
              <m:sSubSup>
                <m:sSubSupPr/>
                <m:e>
                  <m:r>
                    <m:rPr/>
                    <m:t>S</m:t>
                  </m:r>
                </m:e>
                <m:sub>
                  <m:r>
                    <m:rPr/>
                    <m:t>x</m:t>
                  </m:r>
                </m:sub>
                <m:sup>
                  <m:r>
                    <m:rPr/>
                    <m:t>2</m:t>
                  </m:r>
                </m:sup>
              </m:sSubSup>
              <m:r>
                <m:rPr>
                  <m:sty m:val="p"/>
                </m:rPr>
                <m:t>+</m:t>
              </m:r>
              <m:sSubSup>
                <m:sSubSupPr/>
                <m:e>
                  <m:r>
                    <m:rPr/>
                    <m:t>S</m:t>
                  </m:r>
                </m:e>
                <m:sub>
                  <m:r>
                    <m:rPr/>
                    <m:t>y</m:t>
                  </m:r>
                </m:sub>
                <m:sup>
                  <m:r>
                    <m:rPr/>
                    <m:t>2</m:t>
                  </m:r>
                </m:sup>
              </m:sSubSup>
              <m:r>
                <m:rPr>
                  <m:sty m:val="p"/>
                </m:rPr>
                <m:t>+</m:t>
              </m:r>
              <m:r>
                <m:rPr/>
                <m:t>ε</m:t>
              </m:r>
            </m:e>
          </m:rad>
          <m:r>
            <m:rPr>
              <m:sty m:val="p"/>
            </m:rPr>
            <m:t>,</m:t>
          </m:r>
          <m:r>
            <m:rPr/>
            <m:t>  A</m:t>
          </m:r>
          <m:r>
            <m:rPr>
              <m:sty m:val="p"/>
            </m:rPr>
            <m:t>=</m:t>
          </m:r>
          <m:sSub>
            <m:sSubPr/>
            <m:e>
              <m:r>
                <m:rPr/>
                <m:t>S</m:t>
              </m:r>
            </m:e>
            <m:sub>
              <m:r>
                <m:rPr/>
                <m:t>x</m:t>
              </m:r>
            </m:sub>
          </m:sSub>
          <m:sSub>
            <m:sSubPr/>
            <m:e>
              <m:r>
                <m:rPr/>
                <m:t>S</m:t>
              </m:r>
            </m:e>
            <m:sub>
              <m:r>
                <m:rPr/>
                <m:t>y</m:t>
              </m:r>
            </m:sub>
          </m:sSub>
          <m:r>
            <m:rPr>
              <m:sty m:val="p"/>
            </m:rPr>
            <m:t>,</m:t>
          </m:r>
          <m:r>
            <m:rPr/>
            <m:t>  </m:t>
          </m:r>
          <m:sSub>
            <m:sSubPr/>
            <m:e>
              <m:r>
                <m:rPr/>
                <m:t>R</m:t>
              </m:r>
            </m:e>
            <m:sub>
              <m:r>
                <m:rPr/>
                <m:t>x</m:t>
              </m:r>
            </m:sub>
          </m:sSub>
          <m:r>
            <m:rPr>
              <m:sty m:val="p"/>
            </m:rPr>
            <m:t>=</m:t>
          </m:r>
          <m:f>
            <m:fPr/>
            <m:num>
              <m:sSub>
                <m:sSubPr/>
                <m:e>
                  <m:r>
                    <m:rPr/>
                    <m:t>S</m:t>
                  </m:r>
                </m:e>
                <m:sub>
                  <m:r>
                    <m:rPr/>
                    <m:t>x</m:t>
                  </m:r>
                </m:sub>
              </m:sSub>
            </m:num>
            <m:den>
              <m:r>
                <m:rPr/>
                <m:t>D</m:t>
              </m:r>
              <m:r>
                <m:rPr>
                  <m:sty m:val="p"/>
                </m:rPr>
                <m:t>+</m:t>
              </m:r>
              <m:r>
                <m:rPr/>
                <m:t>ε</m:t>
              </m:r>
            </m:den>
          </m:f>
          <m:r>
            <m:rPr/>
            <m:t>  </m:t>
          </m:r>
          <m:d>
            <m:dPr>
              <m:sepChr m:val=""/>
            </m:dPr>
            <m:e>
              <m:r>
                <m:rPr/>
                <m:t>3</m:t>
              </m:r>
            </m:e>
          </m:d>
        </m:oMath>
      </m:oMathPara>
    </w:p>
    <w:p>
      <w:r>
        <w:t>其中，</w:t>
      </w:r>
      <m:oMath>
        <m:r>
          <m:rPr/>
          <m:t>D</m:t>
        </m:r>
      </m:oMath>
      <w:r>
        <w:t xml:space="preserve"> 表示结构外接范围的对角尺度，</w:t>
      </w:r>
      <m:oMath>
        <m:r>
          <m:rPr/>
          <m:t>A</m:t>
        </m:r>
      </m:oMath>
      <w:r>
        <w:t xml:space="preserve"> 表示结构外接区域面积，</w:t>
      </w:r>
      <m:oMath>
        <m:sSub>
          <m:sSubPr/>
          <m:e>
            <m:r>
              <m:rPr/>
              <m:t>R</m:t>
            </m:r>
          </m:e>
          <m:sub>
            <m:r>
              <m:rPr/>
              <m:t>x</m:t>
            </m:r>
          </m:sub>
        </m:sSub>
      </m:oMath>
      <w:r>
        <w:t xml:space="preserve"> 表示横向跨度在整体结构尺度中的占比，</w:t>
      </w:r>
      <m:oMath>
        <m:r>
          <m:rPr/>
          <m:t>ε</m:t>
        </m:r>
      </m:oMath>
      <w:r>
        <w:t xml:space="preserve"> 为防止分母为零的极小常数。当目标结构在图像中更加接近横向展开时，</w:t>
      </w:r>
      <m:oMath>
        <m:sSub>
          <m:sSubPr/>
          <m:e>
            <m:r>
              <m:rPr/>
              <m:t>R</m:t>
            </m:r>
          </m:e>
          <m:sub>
            <m:r>
              <m:rPr/>
              <m:t>x</m:t>
            </m:r>
          </m:sub>
        </m:sSub>
      </m:oMath>
      <w:r>
        <w:t xml:space="preserve"> 的取值更大，说明横向跨度对 GSD 估计更具有参考价值。</w:t>
      </w:r>
    </w:p>
    <w:p>
      <w:r>
        <w:t>仅使用图像坐标轴方向的横向和纵向跨度，容易受到目标姿态变化影响。为进一步获得与目标自身朝向一致的结构尺度，本文对关键点集合进行主方向分析。首先计算关键点中心：</w:t>
      </w:r>
    </w:p>
    <w:p>
      <m:oMathPara>
        <m:oMathParaPr>
          <m:jc m:val="center"/>
        </m:oMathParaPr>
        <m:oMath>
          <m:acc>
            <m:accPr>
              <m:chr m:val="‾"/>
            </m:accPr>
            <m:e>
              <m:r>
                <m:rPr>
                  <m:sty m:val="b"/>
                </m:rPr>
                <m:t>p</m:t>
              </m:r>
            </m:e>
          </m:acc>
          <m:r>
            <m:rPr>
              <m:sty m:val="p"/>
            </m:rPr>
            <m:t>=</m:t>
          </m:r>
          <m:f>
            <m:fPr/>
            <m:num>
              <m:r>
                <m:rPr/>
                <m:t>1</m:t>
              </m:r>
            </m:num>
            <m:den>
              <m:r>
                <m:rPr/>
                <m:t>m</m:t>
              </m:r>
            </m:den>
          </m:f>
          <m:nary>
            <m:naryPr>
              <m:chr m:val="∑"/>
              <m:limLoc m:val="undOvr"/>
            </m:naryPr>
            <m:sub>
              <m:r>
                <m:rPr/>
                <m:t>i</m:t>
              </m:r>
              <m:r>
                <m:rPr>
                  <m:sty m:val="p"/>
                </m:rPr>
                <m:t>=</m:t>
              </m:r>
              <m:r>
                <m:rPr/>
                <m:t>1</m:t>
              </m:r>
            </m:sub>
            <m:sup>
              <m:r>
                <m:rPr/>
                <m:t>m</m:t>
              </m:r>
            </m:sup>
            <m:e>
              <m:sSub>
                <m:sSubPr/>
                <m:e>
                  <m:r>
                    <m:rPr>
                      <m:sty m:val="b"/>
                    </m:rPr>
                    <m:t>p</m:t>
                  </m:r>
                </m:e>
                <m:sub>
                  <m:r>
                    <m:rPr/>
                    <m:t>i</m:t>
                  </m:r>
                </m:sub>
              </m:sSub>
            </m:e>
          </m:nary>
          <m:r>
            <m:rPr/>
            <m:t>  </m:t>
          </m:r>
          <m:d>
            <m:dPr>
              <m:sepChr m:val=""/>
            </m:dPr>
            <m:e>
              <m:r>
                <m:rPr/>
                <m:t>4</m:t>
              </m:r>
            </m:e>
          </m:d>
        </m:oMath>
      </m:oMathPara>
    </w:p>
    <w:p>
      <w:r>
        <w:t>并将每个关键点相对中心进行表示：</w:t>
      </w:r>
    </w:p>
    <w:p>
      <m:oMathPara>
        <m:oMathParaPr>
          <m:jc m:val="center"/>
        </m:oMathParaPr>
        <m:oMath>
          <m:sSub>
            <m:sSubPr/>
            <m:e>
              <m:r>
                <m:rPr>
                  <m:sty m:val="b"/>
                </m:rPr>
                <m:t>q</m:t>
              </m:r>
            </m:e>
            <m:sub>
              <m:r>
                <m:rPr/>
                <m:t>i</m:t>
              </m:r>
            </m:sub>
          </m:sSub>
          <m:r>
            <m:rPr>
              <m:sty m:val="p"/>
            </m:rPr>
            <m:t>=</m:t>
          </m:r>
          <m:sSub>
            <m:sSubPr/>
            <m:e>
              <m:r>
                <m:rPr>
                  <m:sty m:val="b"/>
                </m:rPr>
                <m:t>p</m:t>
              </m:r>
            </m:e>
            <m:sub>
              <m:r>
                <m:rPr/>
                <m:t>i</m:t>
              </m:r>
            </m:sub>
          </m:sSub>
          <m:r>
            <m:rPr>
              <m:sty m:val="p"/>
            </m:rPr>
            <m:t>−</m:t>
          </m:r>
          <m:acc>
            <m:accPr>
              <m:chr m:val="‾"/>
            </m:accPr>
            <m:e>
              <m:r>
                <m:rPr>
                  <m:sty m:val="b"/>
                </m:rPr>
                <m:t>p</m:t>
              </m:r>
            </m:e>
          </m:acc>
          <m:r>
            <m:rPr/>
            <m:t>  </m:t>
          </m:r>
          <m:d>
            <m:dPr>
              <m:sepChr m:val=""/>
            </m:dPr>
            <m:e>
              <m:r>
                <m:rPr/>
                <m:t>5</m:t>
              </m:r>
            </m:e>
          </m:d>
        </m:oMath>
      </m:oMathPara>
    </w:p>
    <w:p>
      <w:r>
        <w:t>由中心化后的关键点构造二维协方差矩阵：</w:t>
      </w:r>
    </w:p>
    <w:p>
      <m:oMathPara>
        <m:oMathParaPr>
          <m:jc m:val="center"/>
        </m:oMathParaPr>
        <m:oMath>
          <m:r>
            <m:rPr>
              <m:sty m:val="b"/>
            </m:rPr>
            <m:t>C</m:t>
          </m:r>
          <m:r>
            <m:rPr>
              <m:sty m:val="p"/>
            </m:rPr>
            <m:t>=</m:t>
          </m:r>
          <m:f>
            <m:fPr/>
            <m:num>
              <m:r>
                <m:rPr/>
                <m:t>1</m:t>
              </m:r>
            </m:num>
            <m:den>
              <m:r>
                <m:rPr/>
                <m:t>m</m:t>
              </m:r>
            </m:den>
          </m:f>
          <m:nary>
            <m:naryPr>
              <m:chr m:val="∑"/>
              <m:limLoc m:val="undOvr"/>
            </m:naryPr>
            <m:sub>
              <m:r>
                <m:rPr/>
                <m:t>i</m:t>
              </m:r>
              <m:r>
                <m:rPr>
                  <m:sty m:val="p"/>
                </m:rPr>
                <m:t>=</m:t>
              </m:r>
              <m:r>
                <m:rPr/>
                <m:t>1</m:t>
              </m:r>
            </m:sub>
            <m:sup>
              <m:r>
                <m:rPr/>
                <m:t>m</m:t>
              </m:r>
            </m:sup>
            <m:e>
              <m:sSub>
                <m:sSubPr/>
                <m:e>
                  <m:r>
                    <m:rPr>
                      <m:sty m:val="b"/>
                    </m:rPr>
                    <m:t>q</m:t>
                  </m:r>
                </m:e>
                <m:sub>
                  <m:r>
                    <m:rPr/>
                    <m:t>i</m:t>
                  </m:r>
                </m:sub>
              </m:sSub>
            </m:e>
          </m:nary>
          <m:sSubSup>
            <m:sSubSupPr/>
            <m:e>
              <m:r>
                <m:rPr>
                  <m:sty m:val="b"/>
                </m:rPr>
                <m:t>q</m:t>
              </m:r>
            </m:e>
            <m:sub>
              <m:r>
                <m:rPr/>
                <m:t>i</m:t>
              </m:r>
            </m:sub>
            <m:sup>
              <m:r>
                <m:rPr>
                  <m:sty m:val="p"/>
                </m:rPr>
                <m:t>T</m:t>
              </m:r>
            </m:sup>
          </m:sSubSup>
          <m:r>
            <m:rPr/>
            <m:t>  </m:t>
          </m:r>
          <m:d>
            <m:dPr>
              <m:sepChr m:val=""/>
            </m:dPr>
            <m:e>
              <m:r>
                <m:rPr/>
                <m:t>6</m:t>
              </m:r>
            </m:e>
          </m:d>
        </m:oMath>
      </m:oMathPara>
    </w:p>
    <w:p>
      <w:r>
        <w:t>对协方差矩阵进行特征分解，得到关键点分布的主方向和副方向：</w:t>
      </w:r>
    </w:p>
    <w:p>
      <m:oMathPara>
        <m:oMathParaPr>
          <m:jc m:val="center"/>
        </m:oMathParaPr>
        <m:oMath>
          <m:r>
            <m:rPr>
              <m:sty m:val="b"/>
            </m:rPr>
            <m:t>C</m:t>
          </m:r>
          <m:sSub>
            <m:sSubPr/>
            <m:e>
              <m:r>
                <m:rPr>
                  <m:sty m:val="b"/>
                </m:rPr>
                <m:t>v</m:t>
              </m:r>
            </m:e>
            <m:sub>
              <m:r>
                <m:rPr/>
                <m:t>1</m:t>
              </m:r>
            </m:sub>
          </m:sSub>
          <m:r>
            <m:rPr>
              <m:sty m:val="p"/>
            </m:rPr>
            <m:t>=</m:t>
          </m:r>
          <m:sSub>
            <m:sSubPr/>
            <m:e>
              <m:r>
                <m:rPr/>
                <m:t>λ</m:t>
              </m:r>
            </m:e>
            <m:sub>
              <m:r>
                <m:rPr/>
                <m:t>1</m:t>
              </m:r>
            </m:sub>
          </m:sSub>
          <m:sSub>
            <m:sSubPr/>
            <m:e>
              <m:r>
                <m:rPr>
                  <m:sty m:val="b"/>
                </m:rPr>
                <m:t>v</m:t>
              </m:r>
            </m:e>
            <m:sub>
              <m:r>
                <m:rPr/>
                <m:t>1</m:t>
              </m:r>
            </m:sub>
          </m:sSub>
          <m:r>
            <m:rPr>
              <m:sty m:val="p"/>
            </m:rPr>
            <m:t>,</m:t>
          </m:r>
          <m:r>
            <m:rPr/>
            <m:t>  </m:t>
          </m:r>
          <m:r>
            <m:rPr>
              <m:sty m:val="b"/>
            </m:rPr>
            <m:t>C</m:t>
          </m:r>
          <m:sSub>
            <m:sSubPr/>
            <m:e>
              <m:r>
                <m:rPr>
                  <m:sty m:val="b"/>
                </m:rPr>
                <m:t>v</m:t>
              </m:r>
            </m:e>
            <m:sub>
              <m:r>
                <m:rPr/>
                <m:t>2</m:t>
              </m:r>
            </m:sub>
          </m:sSub>
          <m:r>
            <m:rPr>
              <m:sty m:val="p"/>
            </m:rPr>
            <m:t>=</m:t>
          </m:r>
          <m:sSub>
            <m:sSubPr/>
            <m:e>
              <m:r>
                <m:rPr/>
                <m:t>λ</m:t>
              </m:r>
            </m:e>
            <m:sub>
              <m:r>
                <m:rPr/>
                <m:t>2</m:t>
              </m:r>
            </m:sub>
          </m:sSub>
          <m:sSub>
            <m:sSubPr/>
            <m:e>
              <m:r>
                <m:rPr>
                  <m:sty m:val="b"/>
                </m:rPr>
                <m:t>v</m:t>
              </m:r>
            </m:e>
            <m:sub>
              <m:r>
                <m:rPr/>
                <m:t>2</m:t>
              </m:r>
            </m:sub>
          </m:sSub>
          <m:r>
            <m:rPr>
              <m:sty m:val="p"/>
            </m:rPr>
            <m:t>,</m:t>
          </m:r>
          <m:r>
            <m:rPr/>
            <m:t>  </m:t>
          </m:r>
          <m:sSub>
            <m:sSubPr/>
            <m:e>
              <m:r>
                <m:rPr/>
                <m:t>λ</m:t>
              </m:r>
            </m:e>
            <m:sub>
              <m:r>
                <m:rPr/>
                <m:t>1</m:t>
              </m:r>
            </m:sub>
          </m:sSub>
          <m:r>
            <m:rPr>
              <m:sty m:val="p"/>
            </m:rPr>
            <m:t>≥</m:t>
          </m:r>
          <m:sSub>
            <m:sSubPr/>
            <m:e>
              <m:r>
                <m:rPr/>
                <m:t>λ</m:t>
              </m:r>
            </m:e>
            <m:sub>
              <m:r>
                <m:rPr/>
                <m:t>2</m:t>
              </m:r>
            </m:sub>
          </m:sSub>
          <m:r>
            <m:rPr/>
            <m:t>  </m:t>
          </m:r>
          <m:d>
            <m:dPr>
              <m:sepChr m:val=""/>
            </m:dPr>
            <m:e>
              <m:r>
                <m:rPr/>
                <m:t>7</m:t>
              </m:r>
            </m:e>
          </m:d>
        </m:oMath>
      </m:oMathPara>
    </w:p>
    <w:p>
      <w:r>
        <w:t>其中，</w:t>
      </w:r>
      <m:oMath>
        <m:sSub>
          <m:sSubPr/>
          <m:e>
            <m:r>
              <m:rPr>
                <m:sty m:val="b"/>
              </m:rPr>
              <m:t>v</m:t>
            </m:r>
          </m:e>
          <m:sub>
            <m:r>
              <m:rPr/>
              <m:t>1</m:t>
            </m:r>
          </m:sub>
        </m:sSub>
      </m:oMath>
      <w:r>
        <w:t xml:space="preserve"> 表示目标结构分布最明显的主方向，</w:t>
      </w:r>
      <m:oMath>
        <m:sSub>
          <m:sSubPr/>
          <m:e>
            <m:r>
              <m:rPr>
                <m:sty m:val="b"/>
              </m:rPr>
              <m:t>v</m:t>
            </m:r>
          </m:e>
          <m:sub>
            <m:r>
              <m:rPr/>
              <m:t>2</m:t>
            </m:r>
          </m:sub>
        </m:sSub>
      </m:oMath>
      <w:r>
        <w:t xml:space="preserve"> 表示与主方向对应的副方向。然后将关键点分别投影到主方向和副方向上：</w:t>
      </w:r>
    </w:p>
    <w:p>
      <m:oMathPara>
        <m:oMathParaPr>
          <m:jc m:val="center"/>
        </m:oMathParaPr>
        <m:oMath>
          <m:sSub>
            <m:sSubPr/>
            <m:e>
              <m:r>
                <m:rPr/>
                <m:t>ν</m:t>
              </m:r>
            </m:e>
            <m:sub>
              <m:r>
                <m:rPr/>
                <m:t>i</m:t>
              </m:r>
            </m:sub>
          </m:sSub>
          <m:r>
            <m:rPr>
              <m:sty m:val="p"/>
            </m:rPr>
            <m:t>=</m:t>
          </m:r>
          <m:sSubSup>
            <m:sSubSupPr/>
            <m:e>
              <m:r>
                <m:rPr>
                  <m:sty m:val="b"/>
                </m:rPr>
                <m:t>p</m:t>
              </m:r>
            </m:e>
            <m:sub>
              <m:r>
                <m:rPr/>
                <m:t>i</m:t>
              </m:r>
            </m:sub>
            <m:sup>
              <m:r>
                <m:rPr>
                  <m:sty m:val="p"/>
                </m:rPr>
                <m:t>T</m:t>
              </m:r>
            </m:sup>
          </m:sSubSup>
          <m:sSub>
            <m:sSubPr/>
            <m:e>
              <m:r>
                <m:rPr>
                  <m:sty m:val="b"/>
                </m:rPr>
                <m:t>v</m:t>
              </m:r>
            </m:e>
            <m:sub>
              <m:r>
                <m:rPr/>
                <m:t>1</m:t>
              </m:r>
            </m:sub>
          </m:sSub>
          <m:r>
            <m:rPr>
              <m:sty m:val="p"/>
            </m:rPr>
            <m:t>,</m:t>
          </m:r>
          <m:r>
            <m:rPr/>
            <m:t>  </m:t>
          </m:r>
          <m:sSub>
            <m:sSubPr/>
            <m:e>
              <m:r>
                <m:rPr/>
                <m:t>ω</m:t>
              </m:r>
            </m:e>
            <m:sub>
              <m:r>
                <m:rPr/>
                <m:t>i</m:t>
              </m:r>
            </m:sub>
          </m:sSub>
          <m:r>
            <m:rPr>
              <m:sty m:val="p"/>
            </m:rPr>
            <m:t>=</m:t>
          </m:r>
          <m:sSubSup>
            <m:sSubSupPr/>
            <m:e>
              <m:r>
                <m:rPr>
                  <m:sty m:val="b"/>
                </m:rPr>
                <m:t>p</m:t>
              </m:r>
            </m:e>
            <m:sub>
              <m:r>
                <m:rPr/>
                <m:t>i</m:t>
              </m:r>
            </m:sub>
            <m:sup>
              <m:r>
                <m:rPr>
                  <m:sty m:val="p"/>
                </m:rPr>
                <m:t>T</m:t>
              </m:r>
            </m:sup>
          </m:sSubSup>
          <m:sSub>
            <m:sSubPr/>
            <m:e>
              <m:r>
                <m:rPr>
                  <m:sty m:val="b"/>
                </m:rPr>
                <m:t>v</m:t>
              </m:r>
            </m:e>
            <m:sub>
              <m:r>
                <m:rPr/>
                <m:t>2</m:t>
              </m:r>
            </m:sub>
          </m:sSub>
          <m:r>
            <m:rPr/>
            <m:t>  </m:t>
          </m:r>
          <m:d>
            <m:dPr>
              <m:sepChr m:val=""/>
            </m:dPr>
            <m:e>
              <m:r>
                <m:rPr/>
                <m:t>8</m:t>
              </m:r>
            </m:e>
          </m:d>
        </m:oMath>
      </m:oMathPara>
    </w:p>
    <w:p>
      <w:r>
        <w:t>由此得到目标结构的主轴长度和副轴长度：</w:t>
      </w:r>
    </w:p>
    <w:p>
      <m:oMathPara>
        <m:oMathParaPr>
          <m:jc m:val="center"/>
        </m:oMathParaPr>
        <m:oMath>
          <m:sSub>
            <m:sSubPr/>
            <m:e>
              <m:r>
                <m:rPr/>
                <m:t>L</m:t>
              </m:r>
            </m:e>
            <m:sub>
              <m:r>
                <m:rPr/>
                <m:t>1</m:t>
              </m:r>
            </m:sub>
          </m:sSub>
          <m:r>
            <m:rPr>
              <m:sty m:val="p"/>
            </m:rPr>
            <m:t>=</m:t>
          </m:r>
          <m:limLow>
            <m:limLowPr/>
            <m:e>
              <m:r>
                <m:rPr>
                  <m:sty m:val="p"/>
                </m:rPr>
                <m:t>max</m:t>
              </m:r>
            </m:e>
            <m:lim>
              <m:r>
                <m:rPr/>
                <m:t>1</m:t>
              </m:r>
              <m:r>
                <m:rPr>
                  <m:sty m:val="p"/>
                </m:rPr>
                <m:t>≤</m:t>
              </m:r>
              <m:r>
                <m:rPr/>
                <m:t>i</m:t>
              </m:r>
              <m:r>
                <m:rPr>
                  <m:sty m:val="p"/>
                </m:rPr>
                <m:t>≤</m:t>
              </m:r>
              <m:r>
                <m:rPr/>
                <m:t>m</m:t>
              </m:r>
            </m:lim>
          </m:limLow>
          <m:sSub>
            <m:sSubPr/>
            <m:e>
              <m:r>
                <m:rPr/>
                <m:t>ν</m:t>
              </m:r>
            </m:e>
            <m:sub>
              <m:r>
                <m:rPr/>
                <m:t>i</m:t>
              </m:r>
            </m:sub>
          </m:sSub>
          <m:r>
            <m:rPr>
              <m:sty m:val="p"/>
            </m:rPr>
            <m:t>−</m:t>
          </m:r>
          <m:limLow>
            <m:limLowPr/>
            <m:e>
              <m:r>
                <m:rPr>
                  <m:sty m:val="p"/>
                </m:rPr>
                <m:t>min</m:t>
              </m:r>
            </m:e>
            <m:lim>
              <m:r>
                <m:rPr/>
                <m:t>1</m:t>
              </m:r>
              <m:r>
                <m:rPr>
                  <m:sty m:val="p"/>
                </m:rPr>
                <m:t>≤</m:t>
              </m:r>
              <m:r>
                <m:rPr/>
                <m:t>i</m:t>
              </m:r>
              <m:r>
                <m:rPr>
                  <m:sty m:val="p"/>
                </m:rPr>
                <m:t>≤</m:t>
              </m:r>
              <m:r>
                <m:rPr/>
                <m:t>m</m:t>
              </m:r>
            </m:lim>
          </m:limLow>
          <m:sSub>
            <m:sSubPr/>
            <m:e>
              <m:r>
                <m:rPr/>
                <m:t>ν</m:t>
              </m:r>
            </m:e>
            <m:sub>
              <m:r>
                <m:rPr/>
                <m:t>i</m:t>
              </m:r>
            </m:sub>
          </m:sSub>
          <m:r>
            <m:rPr>
              <m:sty m:val="p"/>
            </m:rPr>
            <m:t>,</m:t>
          </m:r>
          <m:r>
            <m:rPr/>
            <m:t>  </m:t>
          </m:r>
          <m:sSub>
            <m:sSubPr/>
            <m:e>
              <m:r>
                <m:rPr/>
                <m:t>L</m:t>
              </m:r>
            </m:e>
            <m:sub>
              <m:r>
                <m:rPr/>
                <m:t>2</m:t>
              </m:r>
            </m:sub>
          </m:sSub>
          <m:r>
            <m:rPr>
              <m:sty m:val="p"/>
            </m:rPr>
            <m:t>=</m:t>
          </m:r>
          <m:limLow>
            <m:limLowPr/>
            <m:e>
              <m:r>
                <m:rPr>
                  <m:sty m:val="p"/>
                </m:rPr>
                <m:t>max</m:t>
              </m:r>
            </m:e>
            <m:lim>
              <m:r>
                <m:rPr/>
                <m:t>1</m:t>
              </m:r>
              <m:r>
                <m:rPr>
                  <m:sty m:val="p"/>
                </m:rPr>
                <m:t>≤</m:t>
              </m:r>
              <m:r>
                <m:rPr/>
                <m:t>i</m:t>
              </m:r>
              <m:r>
                <m:rPr>
                  <m:sty m:val="p"/>
                </m:rPr>
                <m:t>≤</m:t>
              </m:r>
              <m:r>
                <m:rPr/>
                <m:t>m</m:t>
              </m:r>
            </m:lim>
          </m:limLow>
          <m:sSub>
            <m:sSubPr/>
            <m:e>
              <m:r>
                <m:rPr/>
                <m:t>ω</m:t>
              </m:r>
            </m:e>
            <m:sub>
              <m:r>
                <m:rPr/>
                <m:t>i</m:t>
              </m:r>
            </m:sub>
          </m:sSub>
          <m:r>
            <m:rPr>
              <m:sty m:val="p"/>
            </m:rPr>
            <m:t>−</m:t>
          </m:r>
          <m:limLow>
            <m:limLowPr/>
            <m:e>
              <m:r>
                <m:rPr>
                  <m:sty m:val="p"/>
                </m:rPr>
                <m:t>min</m:t>
              </m:r>
            </m:e>
            <m:lim>
              <m:r>
                <m:rPr/>
                <m:t>1</m:t>
              </m:r>
              <m:r>
                <m:rPr>
                  <m:sty m:val="p"/>
                </m:rPr>
                <m:t>≤</m:t>
              </m:r>
              <m:r>
                <m:rPr/>
                <m:t>i</m:t>
              </m:r>
              <m:r>
                <m:rPr>
                  <m:sty m:val="p"/>
                </m:rPr>
                <m:t>≤</m:t>
              </m:r>
              <m:r>
                <m:rPr/>
                <m:t>m</m:t>
              </m:r>
            </m:lim>
          </m:limLow>
          <m:sSub>
            <m:sSubPr/>
            <m:e>
              <m:r>
                <m:rPr/>
                <m:t>ω</m:t>
              </m:r>
            </m:e>
            <m:sub>
              <m:r>
                <m:rPr/>
                <m:t>i</m:t>
              </m:r>
            </m:sub>
          </m:sSub>
          <m:r>
            <m:rPr/>
            <m:t>  </m:t>
          </m:r>
          <m:d>
            <m:dPr>
              <m:sepChr m:val=""/>
            </m:dPr>
            <m:e>
              <m:r>
                <m:rPr/>
                <m:t>9</m:t>
              </m:r>
            </m:e>
          </m:d>
        </m:oMath>
      </m:oMathPara>
    </w:p>
    <w:p>
      <w:r>
        <w:t>其中，</w:t>
      </w:r>
      <m:oMath>
        <m:sSub>
          <m:sSubPr/>
          <m:e>
            <m:r>
              <m:rPr/>
              <m:t>L</m:t>
            </m:r>
          </m:e>
          <m:sub>
            <m:r>
              <m:rPr/>
              <m:t>1</m:t>
            </m:r>
          </m:sub>
        </m:sSub>
      </m:oMath>
      <w:r>
        <w:t xml:space="preserve"> 表示沿目标自身主方向量取得到的主轴长度，</w:t>
      </w:r>
      <m:oMath>
        <m:sSub>
          <m:sSubPr/>
          <m:e>
            <m:r>
              <m:rPr/>
              <m:t>L</m:t>
            </m:r>
          </m:e>
          <m:sub>
            <m:r>
              <m:rPr/>
              <m:t>2</m:t>
            </m:r>
          </m:sub>
        </m:sSub>
      </m:oMath>
      <w:r>
        <w:t xml:space="preserve"> 表示沿副方向量取得到的副轴长度。相比单纯的横向跨度和纵向跨度，主轴长度和副轴长度能够更好地适应不同姿态下目标结构的旋转变化。</w:t>
      </w:r>
    </w:p>
    <w:p>
      <w:r>
        <w:t xml:space="preserve">为描述目标主方向在图像中的朝向，设主方向向量为 </w:t>
      </w:r>
      <m:oMath>
        <m:sSub>
          <m:sSubPr/>
          <m:e>
            <m:r>
              <m:rPr>
                <m:sty m:val="b"/>
              </m:rPr>
              <m:t>v</m:t>
            </m:r>
          </m:e>
          <m:sub>
            <m:r>
              <m:rPr/>
              <m:t>1</m:t>
            </m:r>
          </m:sub>
        </m:sSub>
        <m:r>
          <m:rPr>
            <m:sty m:val="p"/>
          </m:rPr>
          <m:t>=</m:t>
        </m:r>
        <m:d>
          <m:dPr>
            <m:sepChr m:val=""/>
          </m:dPr>
          <m:e>
            <m:sSub>
              <m:sSubPr/>
              <m:e>
                <m:r>
                  <m:rPr/>
                  <m:t>v</m:t>
                </m:r>
              </m:e>
              <m:sub>
                <m:r>
                  <m:rPr/>
                  <m:t>x</m:t>
                </m:r>
              </m:sub>
            </m:sSub>
            <m:r>
              <m:rPr>
                <m:sty m:val="p"/>
              </m:rPr>
              <m:t>,</m:t>
            </m:r>
            <m:sSub>
              <m:sSubPr/>
              <m:e>
                <m:r>
                  <m:rPr/>
                  <m:t>v</m:t>
                </m:r>
              </m:e>
              <m:sub>
                <m:r>
                  <m:rPr/>
                  <m:t>y</m:t>
                </m:r>
              </m:sub>
            </m:sSub>
          </m:e>
        </m:d>
      </m:oMath>
      <w:r>
        <w:t>，则主方向角及其正余弦表示为：</w:t>
      </w:r>
    </w:p>
    <w:p>
      <m:oMathPara>
        <m:oMathParaPr>
          <m:jc m:val="center"/>
        </m:oMathParaPr>
        <m:oMath>
          <m:r>
            <m:rPr/>
            <m:t>θ</m:t>
          </m:r>
          <m:r>
            <m:rPr>
              <m:sty m:val="p"/>
            </m:rPr>
            <m:t>=atan2</m:t>
          </m:r>
          <m:d>
            <m:dPr>
              <m:sepChr m:val=""/>
            </m:dPr>
            <m:e>
              <m:sSub>
                <m:sSubPr/>
                <m:e>
                  <m:r>
                    <m:rPr/>
                    <m:t>v</m:t>
                  </m:r>
                </m:e>
                <m:sub>
                  <m:r>
                    <m:rPr/>
                    <m:t>y</m:t>
                  </m:r>
                </m:sub>
              </m:sSub>
              <m:r>
                <m:rPr>
                  <m:sty m:val="p"/>
                </m:rPr>
                <m:t>,</m:t>
              </m:r>
              <m:sSub>
                <m:sSubPr/>
                <m:e>
                  <m:r>
                    <m:rPr/>
                    <m:t>v</m:t>
                  </m:r>
                </m:e>
                <m:sub>
                  <m:r>
                    <m:rPr/>
                    <m:t>x</m:t>
                  </m:r>
                </m:sub>
              </m:sSub>
            </m:e>
          </m:d>
          <m:r>
            <m:rPr>
              <m:sty m:val="p"/>
            </m:rPr>
            <m:t>,</m:t>
          </m:r>
          <m:r>
            <m:rPr/>
            <m:t>  </m:t>
          </m:r>
          <m:sSub>
            <m:sSubPr/>
            <m:e>
              <m:r>
                <m:rPr/>
                <m:t>c</m:t>
              </m:r>
            </m:e>
            <m:sub>
              <m:r>
                <m:rPr/>
                <m:t>θ</m:t>
              </m:r>
            </m:sub>
          </m:sSub>
          <m:r>
            <m:rPr>
              <m:sty m:val="p"/>
            </m:rPr>
            <m:t>=cos</m:t>
          </m:r>
          <m:r>
            <m:rPr/>
            <m:t>θ</m:t>
          </m:r>
          <m:r>
            <m:rPr>
              <m:sty m:val="p"/>
            </m:rPr>
            <m:t>,</m:t>
          </m:r>
          <m:r>
            <m:rPr/>
            <m:t>  </m:t>
          </m:r>
          <m:sSub>
            <m:sSubPr/>
            <m:e>
              <m:r>
                <m:rPr/>
                <m:t>s</m:t>
              </m:r>
            </m:e>
            <m:sub>
              <m:r>
                <m:rPr/>
                <m:t>θ</m:t>
              </m:r>
            </m:sub>
          </m:sSub>
          <m:r>
            <m:rPr>
              <m:sty m:val="p"/>
            </m:rPr>
            <m:t>=sin</m:t>
          </m:r>
          <m:r>
            <m:rPr/>
            <m:t>θ  </m:t>
          </m:r>
          <m:d>
            <m:dPr>
              <m:sepChr m:val=""/>
            </m:dPr>
            <m:e>
              <m:r>
                <m:rPr/>
                <m:t>10</m:t>
              </m:r>
            </m:e>
          </m:d>
        </m:oMath>
      </m:oMathPara>
    </w:p>
    <w:p>
      <w:r>
        <w:t>其中，</w:t>
      </w:r>
      <m:oMath>
        <m:sSub>
          <m:sSubPr/>
          <m:e>
            <m:r>
              <m:rPr/>
              <m:t>c</m:t>
            </m:r>
          </m:e>
          <m:sub>
            <m:r>
              <m:rPr/>
              <m:t>θ</m:t>
            </m:r>
          </m:sub>
        </m:sSub>
      </m:oMath>
      <w:r>
        <w:t xml:space="preserve"> 和 </w:t>
      </w:r>
      <m:oMath>
        <m:sSub>
          <m:sSubPr/>
          <m:e>
            <m:r>
              <m:rPr/>
              <m:t>s</m:t>
            </m:r>
          </m:e>
          <m:sub>
            <m:r>
              <m:rPr/>
              <m:t>θ</m:t>
            </m:r>
          </m:sub>
        </m:sSub>
      </m:oMath>
      <w:r>
        <w:t xml:space="preserve"> 分别表示主方向的余弦分量和正弦分量。采用正弦和余弦表示方向，可以避免角度数值在边界处发生突变，从而使后续学习过程更加稳定。</w:t>
      </w:r>
    </w:p>
    <w:p>
      <w:r>
        <w:t>综合上述几何量，本文构造目标结构的九维几何表征：</w:t>
      </w:r>
    </w:p>
    <w:p>
      <m:oMathPara>
        <m:oMathParaPr>
          <m:jc m:val="center"/>
        </m:oMathParaPr>
        <m:oMath>
          <m:r>
            <m:rPr>
              <m:sty m:val="b"/>
            </m:rPr>
            <m:t>g</m:t>
          </m:r>
          <m:r>
            <m:rPr>
              <m:sty m:val="p"/>
            </m:rPr>
            <m:t>=</m:t>
          </m:r>
          <m:d>
            <m:dPr>
              <m:begChr m:val="["/>
              <m:sepChr m:val=""/>
              <m:endChr m:val="]"/>
            </m:dPr>
            <m:e>
              <m:sSub>
                <m:sSubPr/>
                <m:e>
                  <m:r>
                    <m:rPr/>
                    <m:t>S</m:t>
                  </m:r>
                </m:e>
                <m:sub>
                  <m:r>
                    <m:rPr/>
                    <m:t>x</m:t>
                  </m:r>
                </m:sub>
              </m:sSub>
              <m:r>
                <m:rPr>
                  <m:sty m:val="p"/>
                </m:rPr>
                <m:t>,</m:t>
              </m:r>
              <m:sSub>
                <m:sSubPr/>
                <m:e>
                  <m:r>
                    <m:rPr/>
                    <m:t>S</m:t>
                  </m:r>
                </m:e>
                <m:sub>
                  <m:r>
                    <m:rPr/>
                    <m:t>y</m:t>
                  </m:r>
                </m:sub>
              </m:sSub>
              <m:r>
                <m:rPr>
                  <m:sty m:val="p"/>
                </m:rPr>
                <m:t>,</m:t>
              </m:r>
              <m:r>
                <m:rPr/>
                <m:t>D</m:t>
              </m:r>
              <m:r>
                <m:rPr>
                  <m:sty m:val="p"/>
                </m:rPr>
                <m:t>,</m:t>
              </m:r>
              <m:r>
                <m:rPr/>
                <m:t>A</m:t>
              </m:r>
              <m:r>
                <m:rPr>
                  <m:sty m:val="p"/>
                </m:rPr>
                <m:t>,</m:t>
              </m:r>
              <m:sSub>
                <m:sSubPr/>
                <m:e>
                  <m:r>
                    <m:rPr/>
                    <m:t>R</m:t>
                  </m:r>
                </m:e>
                <m:sub>
                  <m:r>
                    <m:rPr/>
                    <m:t>x</m:t>
                  </m:r>
                </m:sub>
              </m:sSub>
              <m:r>
                <m:rPr>
                  <m:sty m:val="p"/>
                </m:rPr>
                <m:t>,</m:t>
              </m:r>
              <m:sSub>
                <m:sSubPr/>
                <m:e>
                  <m:r>
                    <m:rPr/>
                    <m:t>L</m:t>
                  </m:r>
                </m:e>
                <m:sub>
                  <m:r>
                    <m:rPr/>
                    <m:t>1</m:t>
                  </m:r>
                </m:sub>
              </m:sSub>
              <m:r>
                <m:rPr>
                  <m:sty m:val="p"/>
                </m:rPr>
                <m:t>,</m:t>
              </m:r>
              <m:sSub>
                <m:sSubPr/>
                <m:e>
                  <m:r>
                    <m:rPr/>
                    <m:t>L</m:t>
                  </m:r>
                </m:e>
                <m:sub>
                  <m:r>
                    <m:rPr/>
                    <m:t>2</m:t>
                  </m:r>
                </m:sub>
              </m:sSub>
              <m:r>
                <m:rPr>
                  <m:sty m:val="p"/>
                </m:rPr>
                <m:t>,</m:t>
              </m:r>
              <m:sSub>
                <m:sSubPr/>
                <m:e>
                  <m:r>
                    <m:rPr/>
                    <m:t>c</m:t>
                  </m:r>
                </m:e>
                <m:sub>
                  <m:r>
                    <m:rPr/>
                    <m:t>θ</m:t>
                  </m:r>
                </m:sub>
              </m:sSub>
              <m:r>
                <m:rPr>
                  <m:sty m:val="p"/>
                </m:rPr>
                <m:t>,</m:t>
              </m:r>
              <m:sSub>
                <m:sSubPr/>
                <m:e>
                  <m:r>
                    <m:rPr/>
                    <m:t>s</m:t>
                  </m:r>
                </m:e>
                <m:sub>
                  <m:r>
                    <m:rPr/>
                    <m:t>θ</m:t>
                  </m:r>
                </m:sub>
              </m:sSub>
            </m:e>
          </m:d>
          <m:r>
            <m:rPr/>
            <m:t>  </m:t>
          </m:r>
          <m:d>
            <m:dPr>
              <m:sepChr m:val=""/>
            </m:dPr>
            <m:e>
              <m:r>
                <m:rPr/>
                <m:t>11</m:t>
              </m:r>
            </m:e>
          </m:d>
        </m:oMath>
      </m:oMathPara>
    </w:p>
    <w:p>
      <w:r>
        <w:t xml:space="preserve">该表征分别对应横向跨度、纵向跨度、结构对角尺度、外接区域面积、横向尺度可靠度、主轴长度、副轴长度、主方向余弦分量和主方向正弦分量。对于 TG 目标，由于其包含两个帆板结构，本文分别得到两个帆板的几何表征 </w:t>
      </w:r>
      <m:oMath>
        <m:sSub>
          <m:sSubPr/>
          <m:e>
            <m:r>
              <m:rPr>
                <m:sty m:val="b"/>
              </m:rPr>
              <m:t>g</m:t>
            </m:r>
          </m:e>
          <m:sub>
            <m:r>
              <m:rPr/>
              <m:t>1</m:t>
            </m:r>
          </m:sub>
        </m:sSub>
      </m:oMath>
      <w:r>
        <w:t xml:space="preserve"> 和 </w:t>
      </w:r>
      <m:oMath>
        <m:sSub>
          <m:sSubPr/>
          <m:e>
            <m:r>
              <m:rPr>
                <m:sty m:val="b"/>
              </m:rPr>
              <m:t>g</m:t>
            </m:r>
          </m:e>
          <m:sub>
            <m:r>
              <m:rPr/>
              <m:t>2</m:t>
            </m:r>
          </m:sub>
        </m:sSub>
      </m:oMath>
      <w:r>
        <w:t>，并采用平均方式形成 TG 目标的整体几何表征：</w:t>
      </w:r>
    </w:p>
    <w:p>
      <m:oMathPara>
        <m:oMathParaPr>
          <m:jc m:val="center"/>
        </m:oMathParaPr>
        <m:oMath>
          <m:sSub>
            <m:sSubPr/>
            <m:e>
              <m:r>
                <m:rPr>
                  <m:sty m:val="b"/>
                </m:rPr>
                <m:t>g</m:t>
              </m:r>
            </m:e>
            <m:sub>
              <m:r>
                <m:rPr/>
                <m:t>T</m:t>
              </m:r>
            </m:sub>
          </m:sSub>
          <m:r>
            <m:rPr>
              <m:sty m:val="p"/>
            </m:rPr>
            <m:t>=</m:t>
          </m:r>
          <m:f>
            <m:fPr/>
            <m:num>
              <m:r>
                <m:rPr/>
                <m:t>1</m:t>
              </m:r>
            </m:num>
            <m:den>
              <m:r>
                <m:rPr/>
                <m:t>2</m:t>
              </m:r>
            </m:den>
          </m:f>
          <m:d>
            <m:dPr>
              <m:sepChr m:val=""/>
            </m:dPr>
            <m:e>
              <m:sSub>
                <m:sSubPr/>
                <m:e>
                  <m:r>
                    <m:rPr>
                      <m:sty m:val="b"/>
                    </m:rPr>
                    <m:t>g</m:t>
                  </m:r>
                </m:e>
                <m:sub>
                  <m:r>
                    <m:rPr/>
                    <m:t>1</m:t>
                  </m:r>
                </m:sub>
              </m:sSub>
              <m:r>
                <m:rPr>
                  <m:sty m:val="p"/>
                </m:rPr>
                <m:t>+</m:t>
              </m:r>
              <m:sSub>
                <m:sSubPr/>
                <m:e>
                  <m:r>
                    <m:rPr>
                      <m:sty m:val="b"/>
                    </m:rPr>
                    <m:t>g</m:t>
                  </m:r>
                </m:e>
                <m:sub>
                  <m:r>
                    <m:rPr/>
                    <m:t>2</m:t>
                  </m:r>
                </m:sub>
              </m:sSub>
            </m:e>
          </m:d>
          <m:r>
            <m:rPr/>
            <m:t>  </m:t>
          </m:r>
          <m:d>
            <m:dPr>
              <m:sepChr m:val=""/>
            </m:dPr>
            <m:e>
              <m:r>
                <m:rPr/>
                <m:t>12</m:t>
              </m:r>
            </m:e>
          </m:d>
        </m:oMath>
      </m:oMathPara>
    </w:p>
    <w:p>
      <w:r>
        <w:t>对于 Aura 目标，直接采用单个帆板结构得到的几何表征。进一步考虑到目标类别判断存在不确定性，本文根据类别概率对 Aura 几何表征和 TG 几何表征进行加权融合：</w:t>
      </w:r>
    </w:p>
    <w:p>
      <m:oMathPara>
        <m:oMathParaPr>
          <m:jc m:val="center"/>
        </m:oMathParaPr>
        <m:oMath>
          <m:sSub>
            <m:sSubPr/>
            <m:e>
              <m:r>
                <m:rPr>
                  <m:sty m:val="b"/>
                </m:rPr>
                <m:t>g</m:t>
              </m:r>
            </m:e>
            <m:sub>
              <m:r>
                <m:rPr/>
                <m:t>s</m:t>
              </m:r>
            </m:sub>
          </m:sSub>
          <m:r>
            <m:rPr>
              <m:sty m:val="p"/>
            </m:rPr>
            <m:t>=</m:t>
          </m:r>
          <m:sSub>
            <m:sSubPr/>
            <m:e>
              <m:r>
                <m:rPr/>
                <m:t>α</m:t>
              </m:r>
            </m:e>
            <m:sub>
              <m:r>
                <m:rPr/>
                <m:t>A</m:t>
              </m:r>
            </m:sub>
          </m:sSub>
          <m:sSub>
            <m:sSubPr/>
            <m:e>
              <m:r>
                <m:rPr>
                  <m:sty m:val="b"/>
                </m:rPr>
                <m:t>g</m:t>
              </m:r>
            </m:e>
            <m:sub>
              <m:r>
                <m:rPr/>
                <m:t>A</m:t>
              </m:r>
            </m:sub>
          </m:sSub>
          <m:r>
            <m:rPr>
              <m:sty m:val="p"/>
            </m:rPr>
            <m:t>+</m:t>
          </m:r>
          <m:sSub>
            <m:sSubPr/>
            <m:e>
              <m:r>
                <m:rPr/>
                <m:t>α</m:t>
              </m:r>
            </m:e>
            <m:sub>
              <m:r>
                <m:rPr/>
                <m:t>T</m:t>
              </m:r>
            </m:sub>
          </m:sSub>
          <m:sSub>
            <m:sSubPr/>
            <m:e>
              <m:r>
                <m:rPr>
                  <m:sty m:val="b"/>
                </m:rPr>
                <m:t>g</m:t>
              </m:r>
            </m:e>
            <m:sub>
              <m:r>
                <m:rPr/>
                <m:t>T</m:t>
              </m:r>
            </m:sub>
          </m:sSub>
          <m:r>
            <m:rPr>
              <m:sty m:val="p"/>
            </m:rPr>
            <m:t>,</m:t>
          </m:r>
          <m:r>
            <m:rPr/>
            <m:t>  </m:t>
          </m:r>
          <m:sSub>
            <m:sSubPr/>
            <m:e>
              <m:r>
                <m:rPr/>
                <m:t>α</m:t>
              </m:r>
            </m:e>
            <m:sub>
              <m:r>
                <m:rPr/>
                <m:t>A</m:t>
              </m:r>
            </m:sub>
          </m:sSub>
          <m:r>
            <m:rPr>
              <m:sty m:val="p"/>
            </m:rPr>
            <m:t>+</m:t>
          </m:r>
          <m:sSub>
            <m:sSubPr/>
            <m:e>
              <m:r>
                <m:rPr/>
                <m:t>α</m:t>
              </m:r>
            </m:e>
            <m:sub>
              <m:r>
                <m:rPr/>
                <m:t>T</m:t>
              </m:r>
            </m:sub>
          </m:sSub>
          <m:r>
            <m:rPr>
              <m:sty m:val="p"/>
            </m:rPr>
            <m:t>=</m:t>
          </m:r>
          <m:r>
            <m:rPr/>
            <m:t>1  </m:t>
          </m:r>
          <m:d>
            <m:dPr>
              <m:sepChr m:val=""/>
            </m:dPr>
            <m:e>
              <m:r>
                <m:rPr/>
                <m:t>13</m:t>
              </m:r>
            </m:e>
          </m:d>
        </m:oMath>
      </m:oMathPara>
    </w:p>
    <w:p>
      <w:r>
        <w:t>其中，</w:t>
      </w:r>
      <m:oMath>
        <m:sSub>
          <m:sSubPr/>
          <m:e>
            <m:r>
              <m:rPr>
                <m:sty m:val="b"/>
              </m:rPr>
              <m:t>g</m:t>
            </m:r>
          </m:e>
          <m:sub>
            <m:r>
              <m:rPr/>
              <m:t>A</m:t>
            </m:r>
          </m:sub>
        </m:sSub>
      </m:oMath>
      <w:r>
        <w:t xml:space="preserve"> 表示 Aura 结构几何表征，</w:t>
      </w:r>
      <m:oMath>
        <m:sSub>
          <m:sSubPr/>
          <m:e>
            <m:r>
              <m:rPr>
                <m:sty m:val="b"/>
              </m:rPr>
              <m:t>g</m:t>
            </m:r>
          </m:e>
          <m:sub>
            <m:r>
              <m:rPr/>
              <m:t>T</m:t>
            </m:r>
          </m:sub>
        </m:sSub>
      </m:oMath>
      <w:r>
        <w:t xml:space="preserve"> 表示 TG 结构几何表征，</w:t>
      </w:r>
      <m:oMath>
        <m:sSub>
          <m:sSubPr/>
          <m:e>
            <m:r>
              <m:rPr/>
              <m:t>α</m:t>
            </m:r>
          </m:e>
          <m:sub>
            <m:r>
              <m:rPr/>
              <m:t>A</m:t>
            </m:r>
          </m:sub>
        </m:sSub>
      </m:oMath>
      <w:r>
        <w:t xml:space="preserve"> 和 </w:t>
      </w:r>
      <m:oMath>
        <m:sSub>
          <m:sSubPr/>
          <m:e>
            <m:r>
              <m:rPr/>
              <m:t>α</m:t>
            </m:r>
          </m:e>
          <m:sub>
            <m:r>
              <m:rPr/>
              <m:t>T</m:t>
            </m:r>
          </m:sub>
        </m:sSub>
      </m:oMath>
      <w:r>
        <w:t xml:space="preserve"> 分别表示模型对 Aura 和 TG 的类别判断概率，</w:t>
      </w:r>
      <m:oMath>
        <m:sSub>
          <m:sSubPr/>
          <m:e>
            <m:r>
              <m:rPr>
                <m:sty m:val="b"/>
              </m:rPr>
              <m:t>g</m:t>
            </m:r>
          </m:e>
          <m:sub>
            <m:r>
              <m:rPr/>
              <m:t>s</m:t>
            </m:r>
          </m:sub>
        </m:sSub>
      </m:oMath>
      <w:r>
        <w:t xml:space="preserve"> 表示融合后的结构几何表征。</w:t>
      </w:r>
    </w:p>
    <w:p>
      <w:r>
        <w:t>最后，本文将图像全局表征、类别概率、姿态概率和结构几何表征共同输入可学习的几何估计映射，得到几何分支的 GSD 估计值：</w:t>
      </w:r>
    </w:p>
    <w:p>
      <m:oMathPara>
        <m:oMathParaPr>
          <m:jc m:val="center"/>
        </m:oMathParaPr>
        <m:oMath>
          <m:sSub>
            <m:sSubPr/>
            <m:e>
              <m:r>
                <m:rPr>
                  <m:sty m:val="b"/>
                </m:rPr>
                <m:t>z</m:t>
              </m:r>
            </m:e>
            <m:sub>
              <m:r>
                <m:rPr/>
                <m:t>g</m:t>
              </m:r>
            </m:sub>
          </m:sSub>
          <m:r>
            <m:rPr>
              <m:sty m:val="p"/>
            </m:rPr>
            <m:t>=</m:t>
          </m:r>
          <m:d>
            <m:dPr>
              <m:begChr m:val="["/>
              <m:sepChr m:val=""/>
              <m:endChr m:val="]"/>
            </m:dPr>
            <m:e>
              <m:r>
                <m:rPr>
                  <m:sty m:val="b"/>
                </m:rPr>
                <m:t>f</m:t>
              </m:r>
              <m:r>
                <m:rPr>
                  <m:sty m:val="p"/>
                </m:rPr>
                <m:t>,</m:t>
              </m:r>
              <m:r>
                <m:rPr>
                  <m:sty m:val="b"/>
                </m:rPr>
                <m:t>α</m:t>
              </m:r>
              <m:r>
                <m:rPr>
                  <m:sty m:val="p"/>
                </m:rPr>
                <m:t>,</m:t>
              </m:r>
              <m:r>
                <m:rPr>
                  <m:sty m:val="b"/>
                </m:rPr>
                <m:t>β</m:t>
              </m:r>
              <m:r>
                <m:rPr>
                  <m:sty m:val="p"/>
                </m:rPr>
                <m:t>,</m:t>
              </m:r>
              <m:sSub>
                <m:sSubPr/>
                <m:e>
                  <m:r>
                    <m:rPr>
                      <m:sty m:val="b"/>
                    </m:rPr>
                    <m:t>g</m:t>
                  </m:r>
                </m:e>
                <m:sub>
                  <m:r>
                    <m:rPr/>
                    <m:t>s</m:t>
                  </m:r>
                </m:sub>
              </m:sSub>
            </m:e>
          </m:d>
          <m:r>
            <m:rPr/>
            <m:t>  </m:t>
          </m:r>
          <m:d>
            <m:dPr>
              <m:sepChr m:val=""/>
            </m:dPr>
            <m:e>
              <m:r>
                <m:rPr/>
                <m:t>14</m:t>
              </m:r>
            </m:e>
          </m:d>
        </m:oMath>
      </m:oMathPara>
    </w:p>
    <w:p>
      <m:oMathPara>
        <m:oMathParaPr>
          <m:jc m:val="center"/>
        </m:oMathParaPr>
        <m:oMath>
          <m:sSub>
            <m:sSubPr/>
            <m:e>
              <m:acc>
                <m:accPr/>
                <m:e>
                  <m:r>
                    <m:rPr/>
                    <m:t>G</m:t>
                  </m:r>
                </m:e>
              </m:acc>
            </m:e>
            <m:sub>
              <m:r>
                <m:rPr/>
                <m:t>g</m:t>
              </m:r>
            </m:sub>
          </m:sSub>
          <m:r>
            <m:rPr>
              <m:sty m:val="p"/>
            </m:rPr>
            <m:t>=</m:t>
          </m:r>
          <m:sSub>
            <m:sSubPr/>
            <m:e>
              <m:r>
                <m:rPr/>
                <m:t>G</m:t>
              </m:r>
            </m:e>
            <m:sub>
              <m:r>
                <m:rPr>
                  <m:sty m:val="p"/>
                </m:rPr>
                <m:t>min</m:t>
              </m:r>
            </m:sub>
          </m:sSub>
          <m:r>
            <m:rPr>
              <m:sty m:val="p"/>
            </m:rPr>
            <m:t>+</m:t>
          </m:r>
          <m:d>
            <m:dPr>
              <m:sepChr m:val=""/>
            </m:dPr>
            <m:e>
              <m:sSub>
                <m:sSubPr/>
                <m:e>
                  <m:r>
                    <m:rPr/>
                    <m:t>G</m:t>
                  </m:r>
                </m:e>
                <m:sub>
                  <m:r>
                    <m:rPr>
                      <m:sty m:val="p"/>
                    </m:rPr>
                    <m:t>max</m:t>
                  </m:r>
                </m:sub>
              </m:sSub>
              <m:r>
                <m:rPr>
                  <m:sty m:val="p"/>
                </m:rPr>
                <m:t>−</m:t>
              </m:r>
              <m:sSub>
                <m:sSubPr/>
                <m:e>
                  <m:r>
                    <m:rPr/>
                    <m:t>G</m:t>
                  </m:r>
                </m:e>
                <m:sub>
                  <m:r>
                    <m:rPr>
                      <m:sty m:val="p"/>
                    </m:rPr>
                    <m:t>min</m:t>
                  </m:r>
                </m:sub>
              </m:sSub>
            </m:e>
          </m:d>
          <m:r>
            <m:rPr>
              <m:sty m:val="p"/>
            </m:rPr>
            <m:t>⋅</m:t>
          </m:r>
          <m:r>
            <m:rPr/>
            <m:t>σ</m:t>
          </m:r>
          <m:d>
            <m:dPr>
              <m:sepChr m:val=""/>
            </m:dPr>
            <m:e>
              <m:sSub>
                <m:sSubPr/>
                <m:e>
                  <m:r>
                    <m:rPr/>
                    <m:t>Φ</m:t>
                  </m:r>
                </m:e>
                <m:sub>
                  <m:r>
                    <m:rPr/>
                    <m:t>g</m:t>
                  </m:r>
                </m:sub>
              </m:sSub>
              <m:d>
                <m:dPr>
                  <m:sepChr m:val=""/>
                </m:dPr>
                <m:e>
                  <m:sSub>
                    <m:sSubPr/>
                    <m:e>
                      <m:r>
                        <m:rPr>
                          <m:sty m:val="b"/>
                        </m:rPr>
                        <m:t>z</m:t>
                      </m:r>
                    </m:e>
                    <m:sub>
                      <m:r>
                        <m:rPr/>
                        <m:t>g</m:t>
                      </m:r>
                    </m:sub>
                  </m:sSub>
                </m:e>
              </m:d>
            </m:e>
          </m:d>
          <m:r>
            <m:rPr/>
            <m:t>  </m:t>
          </m:r>
          <m:d>
            <m:dPr>
              <m:sepChr m:val=""/>
            </m:dPr>
            <m:e>
              <m:r>
                <m:rPr/>
                <m:t>15</m:t>
              </m:r>
            </m:e>
          </m:d>
        </m:oMath>
      </m:oMathPara>
    </w:p>
    <w:p>
      <w:r>
        <w:t>其中，</w:t>
      </w:r>
      <m:oMath>
        <m:r>
          <m:rPr>
            <m:sty m:val="b"/>
          </m:rPr>
          <m:t>f</m:t>
        </m:r>
      </m:oMath>
      <w:r>
        <w:t xml:space="preserve"> 表示由共享特征提取网络得到的图像全局表征，</w:t>
      </w:r>
      <m:oMath>
        <m:r>
          <m:rPr>
            <m:sty m:val="b"/>
          </m:rPr>
          <m:t>α</m:t>
        </m:r>
      </m:oMath>
      <w:r>
        <w:t xml:space="preserve"> 表示类别概率向量，</w:t>
      </w:r>
      <m:oMath>
        <m:r>
          <m:rPr>
            <m:sty m:val="b"/>
          </m:rPr>
          <m:t>β</m:t>
        </m:r>
      </m:oMath>
      <w:r>
        <w:t xml:space="preserve"> 表示姿态概率向量，</w:t>
      </w:r>
      <m:oMath>
        <m:sSub>
          <m:sSubPr/>
          <m:e>
            <m:r>
              <m:rPr/>
              <m:t>Φ</m:t>
            </m:r>
          </m:e>
          <m:sub>
            <m:r>
              <m:rPr/>
              <m:t>g</m:t>
            </m:r>
          </m:sub>
        </m:sSub>
        <m:d>
          <m:dPr>
            <m:sepChr m:val=""/>
          </m:dPr>
          <m:e>
            <m:r>
              <m:rPr>
                <m:sty m:val="p"/>
              </m:rPr>
              <m:t>⋅</m:t>
            </m:r>
          </m:e>
        </m:d>
      </m:oMath>
      <w:r>
        <w:t xml:space="preserve"> 表示可学习的几何估计映射，</w:t>
      </w:r>
      <m:oMath>
        <m:r>
          <m:rPr/>
          <m:t>σ</m:t>
        </m:r>
        <m:d>
          <m:dPr>
            <m:sepChr m:val=""/>
          </m:dPr>
          <m:e>
            <m:r>
              <m:rPr>
                <m:sty m:val="p"/>
              </m:rPr>
              <m:t>⋅</m:t>
            </m:r>
          </m:e>
        </m:d>
      </m:oMath>
      <w:r>
        <w:t xml:space="preserve"> 为 Sigmoid 函数，</w:t>
      </w:r>
      <m:oMath>
        <m:sSub>
          <m:sSubPr/>
          <m:e>
            <m:r>
              <m:rPr/>
              <m:t>G</m:t>
            </m:r>
          </m:e>
          <m:sub>
            <m:r>
              <m:rPr>
                <m:sty m:val="p"/>
              </m:rPr>
              <m:t>min</m:t>
            </m:r>
          </m:sub>
        </m:sSub>
      </m:oMath>
      <w:r>
        <w:t xml:space="preserve"> 和 </w:t>
      </w:r>
      <m:oMath>
        <m:sSub>
          <m:sSubPr/>
          <m:e>
            <m:r>
              <m:rPr/>
              <m:t>G</m:t>
            </m:r>
          </m:e>
          <m:sub>
            <m:r>
              <m:rPr>
                <m:sty m:val="p"/>
              </m:rPr>
              <m:t>max</m:t>
            </m:r>
          </m:sub>
        </m:sSub>
      </m:oMath>
      <w:r>
        <w:t xml:space="preserve"> 分别表示 GSD 取值范围的下界和上界，</w:t>
      </w:r>
      <m:oMath>
        <m:sSub>
          <m:sSubPr/>
          <m:e>
            <m:acc>
              <m:accPr/>
              <m:e>
                <m:r>
                  <m:rPr/>
                  <m:t>G</m:t>
                </m:r>
              </m:e>
            </m:acc>
          </m:e>
          <m:sub>
            <m:r>
              <m:rPr/>
              <m:t>g</m:t>
            </m:r>
          </m:sub>
        </m:sSub>
      </m:oMath>
      <w:r>
        <w:t xml:space="preserve"> 表示几何分支得到的 GSD 估计值。通过上述设计，关键点不再只是训练阶段的辅助监督信息，而是在预测过程中被转化为结构尺度表征并直接参与 GSD 估计，从而增强模型在未见 GSD 条件下的泛化能力。</w:t>
      </w:r>
    </w:p>
    <w:p>
      <w:pPr>
        <w:pStyle w:val="3"/>
        <w:spacing w:before="120" w:after="0" w:line="276" w:lineRule="auto"/>
        <w:ind w:firstLine="0"/>
        <w:jc w:val="left"/>
      </w:pPr>
      <w:r>
        <w:rPr>
          <w:rFonts w:ascii="Times New Roman" w:hAnsi="Times New Roman" w:eastAsia="黑体"/>
          <w:b/>
          <w:sz w:val="24"/>
        </w:rPr>
        <w:t>D. 几何主导融合模块</w:t>
      </w:r>
    </w:p>
    <w:p>
      <w:pPr>
        <w:spacing w:before="0" w:after="0" w:line="360" w:lineRule="auto"/>
        <w:ind w:firstLine="480"/>
      </w:pPr>
      <w:r>
        <w:rPr>
          <w:rFonts w:ascii="Times New Roman" w:hAnsi="Times New Roman" w:eastAsia="宋体"/>
          <w:sz w:val="24"/>
        </w:rPr>
        <w:t>在前期可靠性融合中，模型更多以网络回归与热力图学习型分支为主线，几何分支通常只作为辅助参与融合。当几何估计与学习型主线不一致时，旧策略容易降低几何分支权重。然而在未见GSD条件下，实际情况可能恰好相反：学习型分支受到已见档位影响产生偏差，而几何分支反而更接近真实GSD。</w:t>
      </w:r>
    </w:p>
    <w:p>
      <w:pPr>
        <w:spacing w:before="0" w:after="0" w:line="360" w:lineRule="auto"/>
        <w:ind w:firstLine="480"/>
      </w:pPr>
      <w:r>
        <w:rPr>
          <w:rFonts w:ascii="Times New Roman" w:hAnsi="Times New Roman" w:eastAsia="宋体"/>
          <w:sz w:val="24"/>
        </w:rPr>
        <w:t>因此，本文提出几何主导融合思想。固定几何主导融合直接将几何分支设置为主要权重，例如“几何分支90% + 网络回归与热力图学习型主线10%”。该策略结构简单，但实验表现稳定。进一步地，已见感知动态融合策略探索了已见感知动态融合：当样本更像已见GSD时，适当提高学习型分支权重；当样本不像已见GSD或置信度较低时，提高几何分支权重。</w:t>
      </w:r>
    </w:p>
    <w:p>
      <w:pPr>
        <w:pStyle w:val="3"/>
        <w:spacing w:before="120" w:after="0" w:line="276" w:lineRule="auto"/>
        <w:ind w:firstLine="0"/>
        <w:jc w:val="left"/>
      </w:pPr>
      <w:r>
        <w:rPr>
          <w:rFonts w:ascii="Times New Roman" w:hAnsi="Times New Roman" w:eastAsia="黑体"/>
          <w:b/>
          <w:sz w:val="24"/>
        </w:rPr>
        <w:t>E. 损失函数与训练目标</w:t>
      </w:r>
    </w:p>
    <w:p>
      <w:pPr>
        <w:spacing w:before="0" w:after="0" w:line="360" w:lineRule="auto"/>
        <w:ind w:firstLine="480"/>
      </w:pPr>
      <w:r>
        <w:rPr>
          <w:rFonts w:ascii="Times New Roman" w:hAnsi="Times New Roman" w:eastAsia="宋体"/>
          <w:sz w:val="24"/>
        </w:rPr>
        <w:t>模型训练阶段采用多任务联合优化。主任务为GSD回归估计，同时引入GSD档位分类、卫星类别分类、姿态分类和关键点热力图监督等辅助任务。多任务监督能够帮助共享特征同时编码目标类别、姿态结构和尺度变化信息，从而提高GSD估计的稳定性。</w:t>
      </w:r>
    </w:p>
    <w:p>
      <w:pPr>
        <w:spacing w:before="0" w:after="0" w:line="360" w:lineRule="auto"/>
        <w:ind w:firstLine="480"/>
        <w:rPr>
          <w:highlight w:val="none"/>
        </w:rPr>
      </w:pPr>
      <w:r>
        <w:rPr>
          <w:rFonts w:ascii="Times New Roman" w:hAnsi="Times New Roman" w:eastAsia="宋体"/>
          <w:sz w:val="24"/>
          <w:highlight w:val="none"/>
        </w:rPr>
        <w:t>在融合策略比较中，本文重点关注不同分支组合对最终 GSD 估计结果的影响。因此，除主模型训练外，还设计了多组消融实验，包括纯回归网络、纯热力图分支、纯几何分支、可靠性融合、固定几何主导融合以及已见感知动态几何融合。</w:t>
      </w:r>
    </w:p>
    <w:p>
      <w:pPr>
        <w:spacing w:line="240" w:lineRule="auto"/>
        <w:ind w:firstLine="0"/>
      </w:pPr>
    </w:p>
    <w:p>
      <w:pPr>
        <w:pStyle w:val="2"/>
        <w:spacing w:before="240" w:after="80"/>
        <w:ind w:firstLine="0"/>
        <w:jc w:val="left"/>
      </w:pPr>
      <w:r>
        <w:rPr>
          <w:rFonts w:ascii="Times New Roman" w:hAnsi="Times New Roman" w:eastAsia="黑体"/>
          <w:b/>
          <w:sz w:val="30"/>
        </w:rPr>
        <w:t>3实验结果与分析</w:t>
      </w:r>
    </w:p>
    <w:p>
      <w:pPr>
        <w:pStyle w:val="3"/>
        <w:spacing w:before="120" w:after="0" w:line="276" w:lineRule="auto"/>
        <w:ind w:firstLine="0"/>
        <w:jc w:val="left"/>
      </w:pPr>
      <w:r>
        <w:rPr>
          <w:rFonts w:ascii="Times New Roman" w:hAnsi="Times New Roman" w:eastAsia="黑体"/>
          <w:b/>
          <w:sz w:val="24"/>
        </w:rPr>
        <w:t>A. 实验设置与实施细节</w:t>
      </w:r>
    </w:p>
    <w:p>
      <w:pPr>
        <w:spacing w:before="0" w:after="0" w:line="360" w:lineRule="auto"/>
        <w:ind w:firstLine="480"/>
        <w:rPr>
          <w:highlight w:val="none"/>
        </w:rPr>
      </w:pPr>
      <w:r>
        <w:rPr>
          <w:rFonts w:ascii="Times New Roman" w:hAnsi="Times New Roman" w:eastAsia="宋体"/>
          <w:sz w:val="24"/>
          <w:highlight w:val="none"/>
        </w:rPr>
        <w:t>为使实验设计与前文的问题描述保持一致，本文实验围绕“已见 GSD 拟合能力”和“未见 GSD 泛化能力”两个目标展开。前文指出，实际应用中更关键的问题并不是模型能否记住训练集中已有的分辨率档位，而是在训练阶段缺少某一 GSD 档位时，模型能否依靠目标结构尺度信息完成稳定估计。因此，实验部分不仅需要给出最终精度，还需要通过分支消融和融合策略对比，说明本文方法的有效性和创新性。</w:t>
      </w:r>
    </w:p>
    <w:p>
      <w:pPr>
        <w:spacing w:before="0" w:after="0" w:line="360" w:lineRule="auto"/>
        <w:ind w:firstLine="480"/>
        <w:rPr>
          <w:highlight w:val="none"/>
        </w:rPr>
      </w:pPr>
      <w:r>
        <w:rPr>
          <w:rFonts w:ascii="Times New Roman" w:hAnsi="Times New Roman" w:eastAsia="宋体"/>
          <w:sz w:val="24"/>
          <w:highlight w:val="none"/>
        </w:rPr>
        <w:t>具体而言，本文设计以下</w:t>
      </w:r>
      <w:r>
        <w:rPr>
          <w:rFonts w:hint="eastAsia"/>
          <w:sz w:val="24"/>
          <w:highlight w:val="none"/>
          <w:lang w:val="en-US" w:eastAsia="zh-CN"/>
        </w:rPr>
        <w:t>三</w:t>
      </w:r>
      <w:r>
        <w:rPr>
          <w:rFonts w:ascii="Times New Roman" w:hAnsi="Times New Roman" w:eastAsia="宋体"/>
          <w:sz w:val="24"/>
          <w:highlight w:val="none"/>
        </w:rPr>
        <w:t>类实验：（1）学习型主线实验，比较纯回归网络、纯热力图分支以及网络回归与热力图融合主线，用于验证传统学习型估计在已见和未见 GSD 上的表现差异；（</w:t>
      </w:r>
      <w:r>
        <w:rPr>
          <w:rFonts w:hint="eastAsia"/>
          <w:sz w:val="24"/>
          <w:highlight w:val="none"/>
          <w:lang w:val="en-US" w:eastAsia="zh-CN"/>
        </w:rPr>
        <w:t>2</w:t>
      </w:r>
      <w:r>
        <w:rPr>
          <w:rFonts w:ascii="Times New Roman" w:hAnsi="Times New Roman" w:eastAsia="宋体"/>
          <w:sz w:val="24"/>
          <w:highlight w:val="none"/>
        </w:rPr>
        <w:t>）关键点几何分支实验，比较纯几何估计与学习型分支结果，用于证明结构几何表征对未见 GSD 的有效性；（</w:t>
      </w:r>
      <w:r>
        <w:rPr>
          <w:rFonts w:hint="eastAsia"/>
          <w:sz w:val="24"/>
          <w:highlight w:val="none"/>
          <w:lang w:val="en-US" w:eastAsia="zh-CN"/>
        </w:rPr>
        <w:t>3</w:t>
      </w:r>
      <w:r>
        <w:rPr>
          <w:rFonts w:ascii="Times New Roman" w:hAnsi="Times New Roman" w:eastAsia="宋体"/>
          <w:sz w:val="24"/>
          <w:highlight w:val="none"/>
        </w:rPr>
        <w:t>）融合策略对比实验，比较可靠性融合、固定几何主导融合和已见感知动态几何融合，用于验证几何主导思想是否能够进一步提升未见分辨率估计性能。</w:t>
      </w:r>
    </w:p>
    <w:p>
      <w:pPr>
        <w:pStyle w:val="3"/>
        <w:spacing w:before="120" w:after="0" w:line="276" w:lineRule="auto"/>
        <w:ind w:firstLine="0"/>
        <w:jc w:val="left"/>
      </w:pPr>
      <w:r>
        <w:rPr>
          <w:rFonts w:ascii="Times New Roman" w:hAnsi="Times New Roman" w:eastAsia="黑体"/>
          <w:b/>
          <w:sz w:val="24"/>
        </w:rPr>
        <w:t>B. 结果与分析</w:t>
      </w:r>
    </w:p>
    <w:p>
      <w:pPr>
        <w:spacing w:before="0" w:after="0" w:line="360" w:lineRule="auto"/>
        <w:ind w:firstLine="480"/>
        <w:rPr>
          <w:highlight w:val="none"/>
        </w:rPr>
      </w:pPr>
      <w:r>
        <w:rPr>
          <w:rFonts w:ascii="Times New Roman" w:hAnsi="Times New Roman" w:eastAsia="宋体"/>
          <w:sz w:val="24"/>
          <w:highlight w:val="none"/>
        </w:rPr>
        <w:t>在完成上述实验设计后，本文选</w:t>
      </w:r>
      <w:bookmarkStart w:id="0" w:name="_GoBack"/>
      <w:bookmarkEnd w:id="0"/>
      <w:r>
        <w:rPr>
          <w:rFonts w:ascii="Times New Roman" w:hAnsi="Times New Roman" w:eastAsia="宋体"/>
          <w:sz w:val="24"/>
          <w:highlight w:val="none"/>
        </w:rPr>
        <w:t>取具有代表性的分支消融实验和融合策略实验进行对比。表 I 给出了不同方法在已见 GSD 与未见 GSD 上的准确率结果，用于验证学习型分支、关键点几何分支以及几何主导融合策略的作用。</w:t>
      </w:r>
    </w:p>
    <w:p>
      <w:pPr>
        <w:spacing w:line="276" w:lineRule="auto"/>
        <w:ind w:firstLine="0"/>
        <w:jc w:val="center"/>
      </w:pPr>
      <w:r>
        <w:rPr>
          <w:rFonts w:ascii="Times New Roman" w:hAnsi="Times New Roman" w:eastAsia="宋体"/>
          <w:sz w:val="21"/>
        </w:rPr>
        <w:t>表I. 重点实验在已见与未见GSD上的准确率对比</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79"/>
        <w:gridCol w:w="3583"/>
        <w:gridCol w:w="1316"/>
        <w:gridCol w:w="13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sz w:val="17"/>
              </w:rPr>
              <w:t>实验编号</w:t>
            </w:r>
          </w:p>
        </w:tc>
        <w:tc>
          <w:tcPr>
            <w:tcW w:w="0" w:type="auto"/>
            <w:vAlign w:val="center"/>
          </w:tcPr>
          <w:p>
            <w:pPr>
              <w:spacing w:line="240" w:lineRule="auto"/>
              <w:ind w:firstLine="0"/>
              <w:jc w:val="center"/>
            </w:pPr>
            <w:r>
              <w:rPr>
                <w:rFonts w:ascii="Times New Roman" w:hAnsi="Times New Roman" w:eastAsia="宋体"/>
                <w:b/>
                <w:sz w:val="17"/>
              </w:rPr>
              <w:t>通俗含义</w:t>
            </w:r>
          </w:p>
        </w:tc>
        <w:tc>
          <w:tcPr>
            <w:tcW w:w="0" w:type="auto"/>
            <w:vAlign w:val="center"/>
          </w:tcPr>
          <w:p>
            <w:pPr>
              <w:spacing w:line="240" w:lineRule="auto"/>
              <w:ind w:firstLine="0"/>
              <w:jc w:val="center"/>
            </w:pPr>
            <w:r>
              <w:rPr>
                <w:rFonts w:ascii="Times New Roman" w:hAnsi="Times New Roman" w:eastAsia="宋体"/>
                <w:b/>
                <w:sz w:val="17"/>
              </w:rPr>
              <w:t>已见acc</w:t>
            </w:r>
          </w:p>
        </w:tc>
        <w:tc>
          <w:tcPr>
            <w:tcW w:w="0" w:type="auto"/>
            <w:vAlign w:val="center"/>
          </w:tcPr>
          <w:p>
            <w:pPr>
              <w:spacing w:line="240" w:lineRule="auto"/>
              <w:ind w:firstLine="0"/>
              <w:jc w:val="center"/>
            </w:pPr>
            <w:r>
              <w:rPr>
                <w:rFonts w:ascii="Times New Roman" w:hAnsi="Times New Roman" w:eastAsia="宋体"/>
                <w:b/>
                <w:sz w:val="17"/>
              </w:rPr>
              <w:t>未见acc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01</w:t>
            </w:r>
          </w:p>
        </w:tc>
        <w:tc>
          <w:tcPr>
            <w:tcW w:w="0" w:type="auto"/>
            <w:vAlign w:val="center"/>
          </w:tcPr>
          <w:p>
            <w:pPr>
              <w:spacing w:line="240" w:lineRule="auto"/>
              <w:ind w:firstLine="0"/>
              <w:jc w:val="center"/>
            </w:pPr>
            <w:r>
              <w:rPr>
                <w:rFonts w:ascii="Times New Roman" w:hAnsi="Times New Roman" w:eastAsia="宋体"/>
                <w:b w:val="0"/>
                <w:sz w:val="17"/>
              </w:rPr>
              <w:t>原学习型主线：回归网络+热力图</w:t>
            </w:r>
          </w:p>
        </w:tc>
        <w:tc>
          <w:tcPr>
            <w:tcW w:w="0" w:type="auto"/>
            <w:vAlign w:val="center"/>
          </w:tcPr>
          <w:p>
            <w:pPr>
              <w:spacing w:line="240" w:lineRule="auto"/>
              <w:ind w:firstLine="0"/>
              <w:jc w:val="center"/>
            </w:pPr>
            <w:r>
              <w:rPr>
                <w:rFonts w:ascii="Times New Roman" w:hAnsi="Times New Roman" w:eastAsia="宋体"/>
                <w:b w:val="0"/>
                <w:sz w:val="17"/>
              </w:rPr>
              <w:t>0.9721</w:t>
            </w:r>
          </w:p>
        </w:tc>
        <w:tc>
          <w:tcPr>
            <w:tcW w:w="0" w:type="auto"/>
            <w:vAlign w:val="center"/>
          </w:tcPr>
          <w:p>
            <w:pPr>
              <w:spacing w:line="240" w:lineRule="auto"/>
              <w:ind w:firstLine="0"/>
              <w:jc w:val="center"/>
            </w:pPr>
            <w:r>
              <w:rPr>
                <w:rFonts w:ascii="Times New Roman" w:hAnsi="Times New Roman" w:eastAsia="宋体"/>
                <w:b w:val="0"/>
                <w:sz w:val="17"/>
              </w:rPr>
              <w:t>0.7202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02</w:t>
            </w:r>
          </w:p>
        </w:tc>
        <w:tc>
          <w:tcPr>
            <w:tcW w:w="0" w:type="auto"/>
            <w:vAlign w:val="center"/>
          </w:tcPr>
          <w:p>
            <w:pPr>
              <w:spacing w:line="240" w:lineRule="auto"/>
              <w:ind w:firstLine="0"/>
              <w:jc w:val="center"/>
            </w:pPr>
            <w:r>
              <w:rPr>
                <w:rFonts w:ascii="Times New Roman" w:hAnsi="Times New Roman" w:eastAsia="宋体"/>
                <w:b w:val="0"/>
                <w:sz w:val="17"/>
              </w:rPr>
              <w:t>纯回归网络</w:t>
            </w:r>
          </w:p>
        </w:tc>
        <w:tc>
          <w:tcPr>
            <w:tcW w:w="0" w:type="auto"/>
            <w:vAlign w:val="center"/>
          </w:tcPr>
          <w:p>
            <w:pPr>
              <w:spacing w:line="240" w:lineRule="auto"/>
              <w:ind w:firstLine="0"/>
              <w:jc w:val="center"/>
            </w:pPr>
            <w:r>
              <w:rPr>
                <w:rFonts w:ascii="Times New Roman" w:hAnsi="Times New Roman" w:eastAsia="宋体"/>
                <w:b w:val="0"/>
                <w:sz w:val="17"/>
              </w:rPr>
              <w:t>0.9596</w:t>
            </w:r>
          </w:p>
        </w:tc>
        <w:tc>
          <w:tcPr>
            <w:tcW w:w="0" w:type="auto"/>
            <w:vAlign w:val="center"/>
          </w:tcPr>
          <w:p>
            <w:pPr>
              <w:spacing w:line="240" w:lineRule="auto"/>
              <w:ind w:firstLine="0"/>
              <w:jc w:val="center"/>
            </w:pPr>
            <w:r>
              <w:rPr>
                <w:rFonts w:ascii="Times New Roman" w:hAnsi="Times New Roman" w:eastAsia="宋体"/>
                <w:b w:val="0"/>
                <w:sz w:val="17"/>
              </w:rPr>
              <w:t>0.7452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03</w:t>
            </w:r>
          </w:p>
        </w:tc>
        <w:tc>
          <w:tcPr>
            <w:tcW w:w="0" w:type="auto"/>
            <w:vAlign w:val="center"/>
          </w:tcPr>
          <w:p>
            <w:pPr>
              <w:spacing w:line="240" w:lineRule="auto"/>
              <w:ind w:firstLine="0"/>
              <w:jc w:val="center"/>
            </w:pPr>
            <w:r>
              <w:rPr>
                <w:rFonts w:ascii="Times New Roman" w:hAnsi="Times New Roman" w:eastAsia="宋体"/>
                <w:b w:val="0"/>
                <w:sz w:val="17"/>
              </w:rPr>
              <w:t>纯热力图分支</w:t>
            </w:r>
          </w:p>
        </w:tc>
        <w:tc>
          <w:tcPr>
            <w:tcW w:w="0" w:type="auto"/>
            <w:vAlign w:val="center"/>
          </w:tcPr>
          <w:p>
            <w:pPr>
              <w:spacing w:line="240" w:lineRule="auto"/>
              <w:ind w:firstLine="0"/>
              <w:jc w:val="center"/>
            </w:pPr>
            <w:r>
              <w:rPr>
                <w:rFonts w:ascii="Times New Roman" w:hAnsi="Times New Roman" w:eastAsia="宋体"/>
                <w:b w:val="0"/>
                <w:sz w:val="17"/>
              </w:rPr>
              <w:t>0.9596</w:t>
            </w:r>
          </w:p>
        </w:tc>
        <w:tc>
          <w:tcPr>
            <w:tcW w:w="0" w:type="auto"/>
            <w:vAlign w:val="center"/>
          </w:tcPr>
          <w:p>
            <w:pPr>
              <w:spacing w:line="240" w:lineRule="auto"/>
              <w:ind w:firstLine="0"/>
              <w:jc w:val="center"/>
            </w:pPr>
            <w:r>
              <w:rPr>
                <w:rFonts w:ascii="Times New Roman" w:hAnsi="Times New Roman" w:eastAsia="宋体"/>
                <w:b w:val="0"/>
                <w:sz w:val="17"/>
              </w:rPr>
              <w:t>0.6454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04</w:t>
            </w:r>
          </w:p>
        </w:tc>
        <w:tc>
          <w:tcPr>
            <w:tcW w:w="0" w:type="auto"/>
            <w:vAlign w:val="center"/>
          </w:tcPr>
          <w:p>
            <w:pPr>
              <w:spacing w:line="240" w:lineRule="auto"/>
              <w:ind w:firstLine="0"/>
              <w:jc w:val="center"/>
            </w:pPr>
            <w:r>
              <w:rPr>
                <w:rFonts w:ascii="Times New Roman" w:hAnsi="Times New Roman" w:eastAsia="宋体"/>
                <w:b w:val="0"/>
                <w:sz w:val="17"/>
              </w:rPr>
              <w:t>纯几何分支</w:t>
            </w:r>
          </w:p>
        </w:tc>
        <w:tc>
          <w:tcPr>
            <w:tcW w:w="0" w:type="auto"/>
            <w:vAlign w:val="center"/>
          </w:tcPr>
          <w:p>
            <w:pPr>
              <w:spacing w:line="240" w:lineRule="auto"/>
              <w:ind w:firstLine="0"/>
              <w:jc w:val="center"/>
            </w:pPr>
            <w:r>
              <w:rPr>
                <w:rFonts w:ascii="Times New Roman" w:hAnsi="Times New Roman" w:eastAsia="宋体"/>
                <w:b w:val="0"/>
                <w:sz w:val="17"/>
              </w:rPr>
              <w:t>0.9565</w:t>
            </w:r>
          </w:p>
        </w:tc>
        <w:tc>
          <w:tcPr>
            <w:tcW w:w="0" w:type="auto"/>
            <w:vAlign w:val="center"/>
          </w:tcPr>
          <w:p>
            <w:pPr>
              <w:spacing w:line="240" w:lineRule="auto"/>
              <w:ind w:firstLine="0"/>
              <w:jc w:val="center"/>
            </w:pPr>
            <w:r>
              <w:rPr>
                <w:rFonts w:ascii="Times New Roman" w:hAnsi="Times New Roman" w:eastAsia="宋体"/>
                <w:b w:val="0"/>
                <w:sz w:val="17"/>
              </w:rPr>
              <w:t>0.8560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06</w:t>
            </w:r>
          </w:p>
        </w:tc>
        <w:tc>
          <w:tcPr>
            <w:tcW w:w="0" w:type="auto"/>
            <w:vAlign w:val="center"/>
          </w:tcPr>
          <w:p>
            <w:pPr>
              <w:spacing w:line="240" w:lineRule="auto"/>
              <w:ind w:firstLine="0"/>
              <w:jc w:val="center"/>
            </w:pPr>
            <w:r>
              <w:rPr>
                <w:rFonts w:ascii="Times New Roman" w:hAnsi="Times New Roman" w:eastAsia="宋体"/>
                <w:b w:val="0"/>
                <w:sz w:val="17"/>
              </w:rPr>
              <w:t>几何分支90%+回归网络10%</w:t>
            </w:r>
          </w:p>
        </w:tc>
        <w:tc>
          <w:tcPr>
            <w:tcW w:w="0" w:type="auto"/>
            <w:vAlign w:val="center"/>
          </w:tcPr>
          <w:p>
            <w:pPr>
              <w:spacing w:line="240" w:lineRule="auto"/>
              <w:ind w:firstLine="0"/>
              <w:jc w:val="center"/>
            </w:pPr>
            <w:r>
              <w:rPr>
                <w:rFonts w:ascii="Times New Roman" w:hAnsi="Times New Roman" w:eastAsia="宋体"/>
                <w:b w:val="0"/>
                <w:sz w:val="17"/>
              </w:rPr>
              <w:t>0.9596</w:t>
            </w:r>
          </w:p>
        </w:tc>
        <w:tc>
          <w:tcPr>
            <w:tcW w:w="0" w:type="auto"/>
            <w:vAlign w:val="center"/>
          </w:tcPr>
          <w:p>
            <w:pPr>
              <w:spacing w:line="240" w:lineRule="auto"/>
              <w:ind w:firstLine="0"/>
              <w:jc w:val="center"/>
            </w:pPr>
            <w:r>
              <w:rPr>
                <w:rFonts w:ascii="Times New Roman" w:hAnsi="Times New Roman" w:eastAsia="宋体"/>
                <w:b w:val="0"/>
                <w:sz w:val="17"/>
              </w:rPr>
              <w:t>0.8795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11</w:t>
            </w:r>
          </w:p>
        </w:tc>
        <w:tc>
          <w:tcPr>
            <w:tcW w:w="0" w:type="auto"/>
            <w:vAlign w:val="center"/>
          </w:tcPr>
          <w:p>
            <w:pPr>
              <w:spacing w:line="240" w:lineRule="auto"/>
              <w:ind w:firstLine="0"/>
              <w:jc w:val="center"/>
            </w:pPr>
            <w:r>
              <w:rPr>
                <w:rFonts w:ascii="Times New Roman" w:hAnsi="Times New Roman" w:eastAsia="宋体"/>
                <w:b w:val="0"/>
                <w:sz w:val="17"/>
              </w:rPr>
              <w:t>旧版三分支融合，几何最多25%</w:t>
            </w:r>
          </w:p>
        </w:tc>
        <w:tc>
          <w:tcPr>
            <w:tcW w:w="0" w:type="auto"/>
            <w:vAlign w:val="center"/>
          </w:tcPr>
          <w:p>
            <w:pPr>
              <w:spacing w:line="240" w:lineRule="auto"/>
              <w:ind w:firstLine="0"/>
              <w:jc w:val="center"/>
            </w:pPr>
            <w:r>
              <w:rPr>
                <w:rFonts w:ascii="Times New Roman" w:hAnsi="Times New Roman" w:eastAsia="宋体"/>
                <w:b w:val="0"/>
                <w:sz w:val="17"/>
              </w:rPr>
              <w:t>0.9752</w:t>
            </w:r>
          </w:p>
        </w:tc>
        <w:tc>
          <w:tcPr>
            <w:tcW w:w="0" w:type="auto"/>
            <w:vAlign w:val="center"/>
          </w:tcPr>
          <w:p>
            <w:pPr>
              <w:spacing w:line="240" w:lineRule="auto"/>
              <w:ind w:firstLine="0"/>
              <w:jc w:val="center"/>
            </w:pPr>
            <w:r>
              <w:rPr>
                <w:rFonts w:ascii="Times New Roman" w:hAnsi="Times New Roman" w:eastAsia="宋体"/>
                <w:b w:val="0"/>
                <w:sz w:val="17"/>
              </w:rPr>
              <w:t>0.7230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14</w:t>
            </w:r>
          </w:p>
        </w:tc>
        <w:tc>
          <w:tcPr>
            <w:tcW w:w="0" w:type="auto"/>
            <w:vAlign w:val="center"/>
          </w:tcPr>
          <w:p>
            <w:pPr>
              <w:spacing w:line="240" w:lineRule="auto"/>
              <w:ind w:firstLine="0"/>
              <w:jc w:val="center"/>
            </w:pPr>
            <w:r>
              <w:rPr>
                <w:rFonts w:ascii="Times New Roman" w:hAnsi="Times New Roman" w:eastAsia="宋体"/>
                <w:b w:val="0"/>
                <w:sz w:val="17"/>
              </w:rPr>
              <w:t>几何分支80%+网络回归与热力图 20%</w:t>
            </w:r>
          </w:p>
        </w:tc>
        <w:tc>
          <w:tcPr>
            <w:tcW w:w="0" w:type="auto"/>
            <w:vAlign w:val="center"/>
          </w:tcPr>
          <w:p>
            <w:pPr>
              <w:spacing w:line="240" w:lineRule="auto"/>
              <w:ind w:firstLine="0"/>
              <w:jc w:val="center"/>
            </w:pPr>
            <w:r>
              <w:rPr>
                <w:rFonts w:ascii="Times New Roman" w:hAnsi="Times New Roman" w:eastAsia="宋体"/>
                <w:b w:val="0"/>
                <w:sz w:val="17"/>
              </w:rPr>
              <w:t>0.9596</w:t>
            </w:r>
          </w:p>
        </w:tc>
        <w:tc>
          <w:tcPr>
            <w:tcW w:w="0" w:type="auto"/>
            <w:vAlign w:val="center"/>
          </w:tcPr>
          <w:p>
            <w:pPr>
              <w:spacing w:line="240" w:lineRule="auto"/>
              <w:ind w:firstLine="0"/>
              <w:jc w:val="center"/>
            </w:pPr>
            <w:r>
              <w:rPr>
                <w:rFonts w:ascii="Times New Roman" w:hAnsi="Times New Roman" w:eastAsia="宋体"/>
                <w:b w:val="0"/>
                <w:sz w:val="17"/>
              </w:rPr>
              <w:t>0.8601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15</w:t>
            </w:r>
          </w:p>
        </w:tc>
        <w:tc>
          <w:tcPr>
            <w:tcW w:w="0" w:type="auto"/>
            <w:vAlign w:val="center"/>
          </w:tcPr>
          <w:p>
            <w:pPr>
              <w:spacing w:line="240" w:lineRule="auto"/>
              <w:ind w:firstLine="0"/>
              <w:jc w:val="center"/>
            </w:pPr>
            <w:r>
              <w:rPr>
                <w:rFonts w:ascii="Times New Roman" w:hAnsi="Times New Roman" w:eastAsia="宋体"/>
                <w:b w:val="0"/>
                <w:sz w:val="17"/>
              </w:rPr>
              <w:t>几何分支90%+网络回归与热力图 10%</w:t>
            </w:r>
          </w:p>
        </w:tc>
        <w:tc>
          <w:tcPr>
            <w:tcW w:w="0" w:type="auto"/>
            <w:vAlign w:val="center"/>
          </w:tcPr>
          <w:p>
            <w:pPr>
              <w:spacing w:line="240" w:lineRule="auto"/>
              <w:ind w:firstLine="0"/>
              <w:jc w:val="center"/>
            </w:pPr>
            <w:r>
              <w:rPr>
                <w:rFonts w:ascii="Times New Roman" w:hAnsi="Times New Roman" w:eastAsia="宋体"/>
                <w:b w:val="0"/>
                <w:sz w:val="17"/>
              </w:rPr>
              <w:t>0.9627</w:t>
            </w:r>
          </w:p>
        </w:tc>
        <w:tc>
          <w:tcPr>
            <w:tcW w:w="0" w:type="auto"/>
            <w:vAlign w:val="center"/>
          </w:tcPr>
          <w:p>
            <w:pPr>
              <w:spacing w:line="240" w:lineRule="auto"/>
              <w:ind w:firstLine="0"/>
              <w:jc w:val="center"/>
            </w:pPr>
            <w:r>
              <w:rPr>
                <w:rFonts w:ascii="Times New Roman" w:hAnsi="Times New Roman" w:eastAsia="宋体"/>
                <w:b w:val="0"/>
                <w:sz w:val="17"/>
              </w:rPr>
              <w:t>0.8781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18</w:t>
            </w:r>
          </w:p>
        </w:tc>
        <w:tc>
          <w:tcPr>
            <w:tcW w:w="0" w:type="auto"/>
            <w:vAlign w:val="center"/>
          </w:tcPr>
          <w:p>
            <w:pPr>
              <w:spacing w:line="240" w:lineRule="auto"/>
              <w:ind w:firstLine="0"/>
              <w:jc w:val="center"/>
            </w:pPr>
            <w:r>
              <w:rPr>
                <w:rFonts w:ascii="Times New Roman" w:hAnsi="Times New Roman" w:eastAsia="宋体"/>
                <w:b w:val="0"/>
                <w:sz w:val="17"/>
              </w:rPr>
              <w:t>动态几何融合</w:t>
            </w:r>
          </w:p>
        </w:tc>
        <w:tc>
          <w:tcPr>
            <w:tcW w:w="0" w:type="auto"/>
            <w:vAlign w:val="center"/>
          </w:tcPr>
          <w:p>
            <w:pPr>
              <w:spacing w:line="240" w:lineRule="auto"/>
              <w:ind w:firstLine="0"/>
              <w:jc w:val="center"/>
            </w:pPr>
            <w:r>
              <w:rPr>
                <w:rFonts w:ascii="Times New Roman" w:hAnsi="Times New Roman" w:eastAsia="宋体"/>
                <w:b w:val="0"/>
                <w:sz w:val="17"/>
              </w:rPr>
              <w:t>0.9627</w:t>
            </w:r>
          </w:p>
        </w:tc>
        <w:tc>
          <w:tcPr>
            <w:tcW w:w="0" w:type="auto"/>
            <w:vAlign w:val="center"/>
          </w:tcPr>
          <w:p>
            <w:pPr>
              <w:spacing w:line="240" w:lineRule="auto"/>
              <w:ind w:firstLine="0"/>
              <w:jc w:val="center"/>
            </w:pPr>
            <w:r>
              <w:rPr>
                <w:rFonts w:ascii="Times New Roman" w:hAnsi="Times New Roman" w:eastAsia="宋体"/>
                <w:b w:val="0"/>
                <w:sz w:val="17"/>
              </w:rPr>
              <w:t>0.8670</w:t>
            </w:r>
          </w:p>
        </w:tc>
      </w:tr>
    </w:tbl>
    <w:p/>
    <w:p>
      <w:pPr>
        <w:spacing w:before="0" w:after="0" w:line="360" w:lineRule="auto"/>
        <w:ind w:firstLine="480"/>
      </w:pPr>
      <w:r>
        <w:rPr>
          <w:rFonts w:ascii="Times New Roman" w:hAnsi="Times New Roman" w:eastAsia="宋体"/>
          <w:sz w:val="24"/>
        </w:rPr>
        <w:t>从表I可以看出，实验01和实验11在已见GSD上准确率较高，说明回归网络、热力图和旧版可靠性融合能够较好拟合训练中出现过的分辨率档位。然而，它们在未见GSD上的准确率均明显下降，说明学习型主线容易受到已见GSD分布的限制。</w:t>
      </w:r>
    </w:p>
    <w:p>
      <w:pPr>
        <w:spacing w:before="0" w:after="0" w:line="360" w:lineRule="auto"/>
        <w:ind w:firstLine="480"/>
      </w:pPr>
      <w:r>
        <w:rPr>
          <w:rFonts w:ascii="Times New Roman" w:hAnsi="Times New Roman" w:eastAsia="宋体"/>
          <w:sz w:val="24"/>
        </w:rPr>
        <w:t>相比之下，实验04的纯几何分支在未见GSD上达到0.8560，明显高于学习型主线。进一步提高几何分支在最终融合中的权重后，实验14、15和06在未见GSD上继续提升，其中实验15采用“几何分支90% + 网络回归与热力图学习型主线10%”，未见准确率达到0.8781。该结果说明，几何结构信息对于未见分辨率估计具有更强泛化能力。</w:t>
      </w:r>
    </w:p>
    <w:p>
      <w:pPr>
        <w:spacing w:line="240" w:lineRule="auto"/>
        <w:ind w:firstLine="0"/>
      </w:pPr>
    </w:p>
    <w:p>
      <w:pPr>
        <w:pStyle w:val="2"/>
        <w:spacing w:before="240" w:after="80"/>
        <w:ind w:firstLine="0"/>
        <w:jc w:val="left"/>
      </w:pPr>
      <w:r>
        <w:rPr>
          <w:rFonts w:hint="eastAsia" w:ascii="Times New Roman" w:hAnsi="Times New Roman" w:eastAsia="黑体"/>
          <w:b/>
          <w:sz w:val="30"/>
          <w:lang w:val="en-US" w:eastAsia="zh-CN"/>
        </w:rPr>
        <w:t>4</w:t>
      </w:r>
      <w:r>
        <w:rPr>
          <w:rFonts w:ascii="Times New Roman" w:hAnsi="Times New Roman" w:eastAsia="黑体"/>
          <w:b/>
          <w:sz w:val="30"/>
        </w:rPr>
        <w:t>结论</w:t>
      </w:r>
    </w:p>
    <w:p>
      <w:pPr>
        <w:spacing w:before="0" w:after="0" w:line="360" w:lineRule="auto"/>
        <w:ind w:firstLine="480"/>
      </w:pPr>
      <w:r>
        <w:rPr>
          <w:rFonts w:ascii="Times New Roman" w:hAnsi="Times New Roman" w:eastAsia="宋体"/>
          <w:sz w:val="24"/>
        </w:rPr>
        <w:t>本文围绕ISAR图像未见GSD估计问题，设计了一种基于关键点几何表征与几何主导融合的多分支估计框架。通过对回归网络、热力图分支、几何分支以及多种融合策略的系统比较，本文发现学习型分支在已见GSD上具有较强拟合能力，但在未见GSD上泛化不足；几何分支虽然在已见GSD上略低于学习型主线，但在未见GSD上表现明显更稳定。</w:t>
      </w:r>
    </w:p>
    <w:p>
      <w:pPr>
        <w:spacing w:before="0" w:after="0" w:line="360" w:lineRule="auto"/>
        <w:ind w:firstLine="480"/>
      </w:pPr>
      <w:r>
        <w:rPr>
          <w:rFonts w:ascii="Times New Roman" w:hAnsi="Times New Roman" w:eastAsia="宋体"/>
          <w:sz w:val="24"/>
        </w:rPr>
        <w:t>实验结果表明，几何主导融合能够显著提升未见GSD估计准确率。特别是“几何分支90% + 网络回归与热力图学习型主线10%”的固定融合策略，在未见GSD上取得0.8781的准确率，明显优于原学习型主线和旧版三分支融合。该结果验证了几何结构信息在跨分辨率GSD估计中的重要作用。</w:t>
      </w:r>
    </w:p>
    <w:p>
      <w:pPr>
        <w:spacing w:before="0" w:after="0" w:line="360" w:lineRule="auto"/>
        <w:ind w:firstLine="480"/>
      </w:pPr>
      <w:r>
        <w:rPr>
          <w:rFonts w:ascii="Times New Roman" w:hAnsi="Times New Roman" w:eastAsia="宋体"/>
          <w:sz w:val="24"/>
        </w:rPr>
        <w:t>后续工作将从三个方面继续改进：第一，补充不同未见GSD档位的leave-one-GSD-out实验，以验证方法在更多未见分辨率上的稳定性；第二，改进关键点检测与点序规范化，降低几何特征误差；第三，优化已见置信度判断与动态权重映射，使动态几何融合在保持可解释性的同时进一步接近或超过固定几何主导融合。</w:t>
      </w:r>
    </w:p>
    <w:p>
      <w:pPr>
        <w:spacing w:line="240" w:lineRule="auto"/>
        <w:ind w:firstLine="0"/>
      </w:pPr>
    </w:p>
    <w:p>
      <w:pPr>
        <w:pStyle w:val="2"/>
        <w:spacing w:before="240" w:after="80"/>
        <w:ind w:firstLine="0"/>
        <w:jc w:val="left"/>
      </w:pPr>
      <w:r>
        <w:rPr>
          <w:rFonts w:hint="eastAsia" w:ascii="Times New Roman" w:hAnsi="Times New Roman" w:eastAsia="黑体"/>
          <w:b/>
          <w:sz w:val="30"/>
          <w:lang w:val="en-US" w:eastAsia="zh-CN"/>
        </w:rPr>
        <w:t>5</w:t>
      </w:r>
      <w:r>
        <w:rPr>
          <w:rFonts w:ascii="Times New Roman" w:hAnsi="Times New Roman" w:eastAsia="黑体"/>
          <w:b/>
          <w:sz w:val="30"/>
        </w:rPr>
        <w:t>参考文献</w:t>
      </w:r>
    </w:p>
    <w:p>
      <w:pPr>
        <w:spacing w:before="0" w:after="0" w:line="360" w:lineRule="auto"/>
        <w:ind w:firstLine="0"/>
      </w:pPr>
      <w:r>
        <w:rPr>
          <w:rFonts w:ascii="Times New Roman" w:hAnsi="Times New Roman" w:eastAsia="宋体"/>
          <w:sz w:val="24"/>
        </w:rPr>
        <w:t>[1] Zhang Q, et al. Quality-aware Multimodal Fusion for Robust Perception. 2023.</w:t>
      </w:r>
    </w:p>
    <w:p>
      <w:pPr>
        <w:spacing w:before="0" w:after="0" w:line="360" w:lineRule="auto"/>
        <w:ind w:firstLine="0"/>
      </w:pPr>
      <w:r>
        <w:rPr>
          <w:rFonts w:ascii="Times New Roman" w:hAnsi="Times New Roman" w:eastAsia="宋体"/>
          <w:sz w:val="24"/>
        </w:rPr>
        <w:t>[2] Predictive Dynamic Fusion for Multimodal Learning. 2024.</w:t>
      </w:r>
    </w:p>
    <w:p>
      <w:pPr>
        <w:spacing w:before="0" w:after="0" w:line="360" w:lineRule="auto"/>
        <w:ind w:firstLine="0"/>
      </w:pPr>
      <w:r>
        <w:rPr>
          <w:rFonts w:ascii="Times New Roman" w:hAnsi="Times New Roman" w:eastAsia="宋体"/>
          <w:sz w:val="24"/>
        </w:rPr>
        <w:t>[3] Gao Y, et al. Embracing Unimodal Aleatoric Uncertainty for Robust Multimodal Fusion. CVPR, 2024.</w:t>
      </w:r>
    </w:p>
    <w:p>
      <w:pPr>
        <w:spacing w:before="0" w:after="0" w:line="360" w:lineRule="auto"/>
        <w:ind w:firstLine="0"/>
      </w:pPr>
      <w:r>
        <w:rPr>
          <w:rFonts w:ascii="Times New Roman" w:hAnsi="Times New Roman" w:eastAsia="宋体"/>
          <w:sz w:val="24"/>
        </w:rPr>
        <w:t>[4] Trustworthy Multimodal Regression with Mixture of Normal-Inverse Gamma. NeurIPS, 2021.</w:t>
      </w:r>
    </w:p>
    <w:p>
      <w:pPr>
        <w:spacing w:before="0" w:after="0" w:line="360" w:lineRule="auto"/>
        <w:ind w:firstLine="0"/>
      </w:pPr>
      <w:r>
        <w:rPr>
          <w:rFonts w:ascii="Times New Roman" w:hAnsi="Times New Roman" w:eastAsia="宋体"/>
          <w:sz w:val="24"/>
        </w:rPr>
        <w:t>[5] Newell A, Yang K, Deng J. Stacked Hourglass Networks for Human Pose Estimation. ECCV, 2016.</w:t>
      </w:r>
    </w:p>
    <w:p>
      <w:pPr>
        <w:spacing w:before="0" w:after="0" w:line="360" w:lineRule="auto"/>
        <w:ind w:firstLine="0"/>
      </w:pPr>
      <w:r>
        <w:rPr>
          <w:rFonts w:ascii="Times New Roman" w:hAnsi="Times New Roman" w:eastAsia="宋体"/>
          <w:sz w:val="24"/>
        </w:rPr>
        <w:t>[6] He K, Zhang X, Ren S, Sun J. Deep Residual Learning for Image Recognition. CVPR, 2016.</w:t>
      </w:r>
    </w:p>
    <w:p>
      <w:pPr>
        <w:spacing w:before="0" w:after="0" w:line="360" w:lineRule="auto"/>
        <w:ind w:firstLine="0"/>
      </w:pPr>
      <w:r>
        <w:rPr>
          <w:rFonts w:ascii="Times New Roman" w:hAnsi="Times New Roman" w:eastAsia="宋体"/>
          <w:sz w:val="24"/>
        </w:rPr>
        <w:t>[7] 后续根据导师意见补充ISAR图像解译、关键点检测、跨分辨率泛化与多任务学习相关文献。</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E4NmI3ZTkyMTdlMWJlMGQwZjYwNzM4NGZmYzA0NzEifQ=="/>
  </w:docVars>
  <w:rsids>
    <w:rsidRoot w:val="00B352D0"/>
    <w:rsid w:val="000002B9"/>
    <w:rsid w:val="00002276"/>
    <w:rsid w:val="00004E74"/>
    <w:rsid w:val="00006C82"/>
    <w:rsid w:val="00007783"/>
    <w:rsid w:val="00007C61"/>
    <w:rsid w:val="00007F84"/>
    <w:rsid w:val="000107A1"/>
    <w:rsid w:val="00010CA3"/>
    <w:rsid w:val="00021B99"/>
    <w:rsid w:val="00021D9C"/>
    <w:rsid w:val="0002208E"/>
    <w:rsid w:val="000274CC"/>
    <w:rsid w:val="00035592"/>
    <w:rsid w:val="00035C52"/>
    <w:rsid w:val="00035DD7"/>
    <w:rsid w:val="00037C0F"/>
    <w:rsid w:val="00037E06"/>
    <w:rsid w:val="00041FC9"/>
    <w:rsid w:val="0004502A"/>
    <w:rsid w:val="000455FD"/>
    <w:rsid w:val="000513B5"/>
    <w:rsid w:val="00052782"/>
    <w:rsid w:val="0005581E"/>
    <w:rsid w:val="00060368"/>
    <w:rsid w:val="00062B69"/>
    <w:rsid w:val="00062E83"/>
    <w:rsid w:val="00063939"/>
    <w:rsid w:val="00064DD4"/>
    <w:rsid w:val="00065FFC"/>
    <w:rsid w:val="0006740A"/>
    <w:rsid w:val="000712B8"/>
    <w:rsid w:val="00072E7D"/>
    <w:rsid w:val="00075E95"/>
    <w:rsid w:val="000822C4"/>
    <w:rsid w:val="00085D13"/>
    <w:rsid w:val="0009104F"/>
    <w:rsid w:val="000A07EC"/>
    <w:rsid w:val="000A1BBA"/>
    <w:rsid w:val="000A1D56"/>
    <w:rsid w:val="000A4660"/>
    <w:rsid w:val="000B5C39"/>
    <w:rsid w:val="000C19BE"/>
    <w:rsid w:val="000C5433"/>
    <w:rsid w:val="000C6E8B"/>
    <w:rsid w:val="000D0B16"/>
    <w:rsid w:val="000D23F2"/>
    <w:rsid w:val="000D2517"/>
    <w:rsid w:val="000E37E9"/>
    <w:rsid w:val="000E3E68"/>
    <w:rsid w:val="000E70D6"/>
    <w:rsid w:val="000F02D4"/>
    <w:rsid w:val="000F0A8D"/>
    <w:rsid w:val="000F2103"/>
    <w:rsid w:val="001001A2"/>
    <w:rsid w:val="00105EA5"/>
    <w:rsid w:val="00106BEB"/>
    <w:rsid w:val="00112B87"/>
    <w:rsid w:val="00113AC5"/>
    <w:rsid w:val="001145E8"/>
    <w:rsid w:val="00116017"/>
    <w:rsid w:val="00126B13"/>
    <w:rsid w:val="001277B1"/>
    <w:rsid w:val="0013243F"/>
    <w:rsid w:val="00133624"/>
    <w:rsid w:val="001342C7"/>
    <w:rsid w:val="00134A59"/>
    <w:rsid w:val="0014035C"/>
    <w:rsid w:val="00143D17"/>
    <w:rsid w:val="00147B00"/>
    <w:rsid w:val="001512DA"/>
    <w:rsid w:val="00151B03"/>
    <w:rsid w:val="001624C7"/>
    <w:rsid w:val="00162C6A"/>
    <w:rsid w:val="00164820"/>
    <w:rsid w:val="00164E11"/>
    <w:rsid w:val="0016754C"/>
    <w:rsid w:val="001710B3"/>
    <w:rsid w:val="00173807"/>
    <w:rsid w:val="00182D62"/>
    <w:rsid w:val="00184CAB"/>
    <w:rsid w:val="00184DFF"/>
    <w:rsid w:val="001872F8"/>
    <w:rsid w:val="00190FA4"/>
    <w:rsid w:val="00192360"/>
    <w:rsid w:val="00194D33"/>
    <w:rsid w:val="001A089D"/>
    <w:rsid w:val="001A275F"/>
    <w:rsid w:val="001A43EC"/>
    <w:rsid w:val="001A514B"/>
    <w:rsid w:val="001A5544"/>
    <w:rsid w:val="001A5ACD"/>
    <w:rsid w:val="001B26B3"/>
    <w:rsid w:val="001B2B90"/>
    <w:rsid w:val="001B316F"/>
    <w:rsid w:val="001B48BD"/>
    <w:rsid w:val="001B5C2C"/>
    <w:rsid w:val="001B600F"/>
    <w:rsid w:val="001C02ED"/>
    <w:rsid w:val="001C7C9E"/>
    <w:rsid w:val="001D4984"/>
    <w:rsid w:val="001E381F"/>
    <w:rsid w:val="001E6ED8"/>
    <w:rsid w:val="001F0412"/>
    <w:rsid w:val="001F460E"/>
    <w:rsid w:val="001F5EA4"/>
    <w:rsid w:val="001F6F00"/>
    <w:rsid w:val="00200309"/>
    <w:rsid w:val="002018D9"/>
    <w:rsid w:val="00203C18"/>
    <w:rsid w:val="00210604"/>
    <w:rsid w:val="0021308A"/>
    <w:rsid w:val="00214BC3"/>
    <w:rsid w:val="00215CF9"/>
    <w:rsid w:val="0021755B"/>
    <w:rsid w:val="0021768A"/>
    <w:rsid w:val="00220FFC"/>
    <w:rsid w:val="00221453"/>
    <w:rsid w:val="00223773"/>
    <w:rsid w:val="00236EDC"/>
    <w:rsid w:val="00242C88"/>
    <w:rsid w:val="002430AF"/>
    <w:rsid w:val="00245E33"/>
    <w:rsid w:val="00247E3B"/>
    <w:rsid w:val="002506DB"/>
    <w:rsid w:val="002516F4"/>
    <w:rsid w:val="002528CD"/>
    <w:rsid w:val="0025449B"/>
    <w:rsid w:val="002562DC"/>
    <w:rsid w:val="00256AB6"/>
    <w:rsid w:val="00257EA8"/>
    <w:rsid w:val="00261E02"/>
    <w:rsid w:val="002622EF"/>
    <w:rsid w:val="002642AD"/>
    <w:rsid w:val="002643FF"/>
    <w:rsid w:val="00271627"/>
    <w:rsid w:val="002721F4"/>
    <w:rsid w:val="002725CE"/>
    <w:rsid w:val="00273FC8"/>
    <w:rsid w:val="002744CD"/>
    <w:rsid w:val="0027525C"/>
    <w:rsid w:val="00276BA4"/>
    <w:rsid w:val="00282612"/>
    <w:rsid w:val="00282787"/>
    <w:rsid w:val="00282932"/>
    <w:rsid w:val="00285AB1"/>
    <w:rsid w:val="00285BAC"/>
    <w:rsid w:val="00287516"/>
    <w:rsid w:val="0029175E"/>
    <w:rsid w:val="00292466"/>
    <w:rsid w:val="00294839"/>
    <w:rsid w:val="002965D0"/>
    <w:rsid w:val="00296B45"/>
    <w:rsid w:val="002A0316"/>
    <w:rsid w:val="002A3AD3"/>
    <w:rsid w:val="002A79BF"/>
    <w:rsid w:val="002B5218"/>
    <w:rsid w:val="002B7B72"/>
    <w:rsid w:val="002C1AB2"/>
    <w:rsid w:val="002C240D"/>
    <w:rsid w:val="002C2D53"/>
    <w:rsid w:val="002C31BB"/>
    <w:rsid w:val="002C5921"/>
    <w:rsid w:val="002C6468"/>
    <w:rsid w:val="002D04A7"/>
    <w:rsid w:val="002D6814"/>
    <w:rsid w:val="002D7C89"/>
    <w:rsid w:val="002E1227"/>
    <w:rsid w:val="002E41F2"/>
    <w:rsid w:val="002E5F6E"/>
    <w:rsid w:val="002E6F0C"/>
    <w:rsid w:val="002E73A3"/>
    <w:rsid w:val="002F0716"/>
    <w:rsid w:val="002F152D"/>
    <w:rsid w:val="002F6710"/>
    <w:rsid w:val="002F697D"/>
    <w:rsid w:val="003030F7"/>
    <w:rsid w:val="00303BE4"/>
    <w:rsid w:val="003047A7"/>
    <w:rsid w:val="003056DC"/>
    <w:rsid w:val="00305BB5"/>
    <w:rsid w:val="00311D9A"/>
    <w:rsid w:val="00315385"/>
    <w:rsid w:val="003226E3"/>
    <w:rsid w:val="00322A33"/>
    <w:rsid w:val="003277CD"/>
    <w:rsid w:val="00327CC7"/>
    <w:rsid w:val="003346F5"/>
    <w:rsid w:val="00334A2D"/>
    <w:rsid w:val="00337F7D"/>
    <w:rsid w:val="00340BF5"/>
    <w:rsid w:val="0034620B"/>
    <w:rsid w:val="0034626D"/>
    <w:rsid w:val="003471A1"/>
    <w:rsid w:val="003509DF"/>
    <w:rsid w:val="00350CAF"/>
    <w:rsid w:val="00353F61"/>
    <w:rsid w:val="00362303"/>
    <w:rsid w:val="00362ECE"/>
    <w:rsid w:val="003631F5"/>
    <w:rsid w:val="00372071"/>
    <w:rsid w:val="00372778"/>
    <w:rsid w:val="003728A7"/>
    <w:rsid w:val="00381871"/>
    <w:rsid w:val="00383120"/>
    <w:rsid w:val="00385D98"/>
    <w:rsid w:val="00387D45"/>
    <w:rsid w:val="00392BC4"/>
    <w:rsid w:val="00393334"/>
    <w:rsid w:val="00395946"/>
    <w:rsid w:val="003A46F6"/>
    <w:rsid w:val="003A659B"/>
    <w:rsid w:val="003A7D93"/>
    <w:rsid w:val="003A7DDE"/>
    <w:rsid w:val="003B119A"/>
    <w:rsid w:val="003B160D"/>
    <w:rsid w:val="003B3DDE"/>
    <w:rsid w:val="003B6487"/>
    <w:rsid w:val="003C1874"/>
    <w:rsid w:val="003C7769"/>
    <w:rsid w:val="003C7CE1"/>
    <w:rsid w:val="003D0E34"/>
    <w:rsid w:val="003D1E49"/>
    <w:rsid w:val="003D3F94"/>
    <w:rsid w:val="003D5A00"/>
    <w:rsid w:val="003D6DFF"/>
    <w:rsid w:val="003D71A1"/>
    <w:rsid w:val="003D72A7"/>
    <w:rsid w:val="003E5C56"/>
    <w:rsid w:val="003F08BE"/>
    <w:rsid w:val="003F1665"/>
    <w:rsid w:val="003F1DB6"/>
    <w:rsid w:val="003F20D2"/>
    <w:rsid w:val="003F25F2"/>
    <w:rsid w:val="003F26AD"/>
    <w:rsid w:val="003F59C1"/>
    <w:rsid w:val="003F59C6"/>
    <w:rsid w:val="003F7002"/>
    <w:rsid w:val="0040064A"/>
    <w:rsid w:val="00407128"/>
    <w:rsid w:val="004101E3"/>
    <w:rsid w:val="00422078"/>
    <w:rsid w:val="0042495E"/>
    <w:rsid w:val="004307A4"/>
    <w:rsid w:val="00432A90"/>
    <w:rsid w:val="004374A6"/>
    <w:rsid w:val="00440314"/>
    <w:rsid w:val="00452C6C"/>
    <w:rsid w:val="0045680E"/>
    <w:rsid w:val="00462A95"/>
    <w:rsid w:val="004672B3"/>
    <w:rsid w:val="004712E2"/>
    <w:rsid w:val="004716F0"/>
    <w:rsid w:val="00474084"/>
    <w:rsid w:val="00474E60"/>
    <w:rsid w:val="00475A2B"/>
    <w:rsid w:val="004771E6"/>
    <w:rsid w:val="00480091"/>
    <w:rsid w:val="004920CF"/>
    <w:rsid w:val="004953C3"/>
    <w:rsid w:val="004A1B5A"/>
    <w:rsid w:val="004A2ABB"/>
    <w:rsid w:val="004A4277"/>
    <w:rsid w:val="004A4E5C"/>
    <w:rsid w:val="004A6AF8"/>
    <w:rsid w:val="004A743E"/>
    <w:rsid w:val="004B094A"/>
    <w:rsid w:val="004B1E83"/>
    <w:rsid w:val="004B2F36"/>
    <w:rsid w:val="004B351E"/>
    <w:rsid w:val="004B575B"/>
    <w:rsid w:val="004C0E25"/>
    <w:rsid w:val="004C7147"/>
    <w:rsid w:val="004C7C03"/>
    <w:rsid w:val="004D2736"/>
    <w:rsid w:val="004D4B1A"/>
    <w:rsid w:val="004D4B91"/>
    <w:rsid w:val="004D7914"/>
    <w:rsid w:val="004E29CD"/>
    <w:rsid w:val="004E6822"/>
    <w:rsid w:val="004F6724"/>
    <w:rsid w:val="005013F4"/>
    <w:rsid w:val="005061F8"/>
    <w:rsid w:val="0050698D"/>
    <w:rsid w:val="00506EA1"/>
    <w:rsid w:val="005070A7"/>
    <w:rsid w:val="00512BC2"/>
    <w:rsid w:val="005229FE"/>
    <w:rsid w:val="005261EB"/>
    <w:rsid w:val="00526DA6"/>
    <w:rsid w:val="00526E23"/>
    <w:rsid w:val="005275F9"/>
    <w:rsid w:val="00533925"/>
    <w:rsid w:val="00534AB7"/>
    <w:rsid w:val="0054143C"/>
    <w:rsid w:val="005430E1"/>
    <w:rsid w:val="00543380"/>
    <w:rsid w:val="005443C8"/>
    <w:rsid w:val="00545EDD"/>
    <w:rsid w:val="00547B42"/>
    <w:rsid w:val="00551257"/>
    <w:rsid w:val="00552F9A"/>
    <w:rsid w:val="0055423C"/>
    <w:rsid w:val="00555B83"/>
    <w:rsid w:val="005564DD"/>
    <w:rsid w:val="005603C3"/>
    <w:rsid w:val="005627F6"/>
    <w:rsid w:val="005644F9"/>
    <w:rsid w:val="00564881"/>
    <w:rsid w:val="005658BB"/>
    <w:rsid w:val="00565AD4"/>
    <w:rsid w:val="00565DA4"/>
    <w:rsid w:val="0057125E"/>
    <w:rsid w:val="00571A77"/>
    <w:rsid w:val="00574453"/>
    <w:rsid w:val="00576352"/>
    <w:rsid w:val="005768CF"/>
    <w:rsid w:val="00576F94"/>
    <w:rsid w:val="00585592"/>
    <w:rsid w:val="00586E84"/>
    <w:rsid w:val="00587C39"/>
    <w:rsid w:val="00590813"/>
    <w:rsid w:val="00591C21"/>
    <w:rsid w:val="005944DC"/>
    <w:rsid w:val="005A4AD7"/>
    <w:rsid w:val="005A55CC"/>
    <w:rsid w:val="005B07F8"/>
    <w:rsid w:val="005B226A"/>
    <w:rsid w:val="005B4F2F"/>
    <w:rsid w:val="005B6792"/>
    <w:rsid w:val="005B7BCF"/>
    <w:rsid w:val="005C5CFD"/>
    <w:rsid w:val="005C6499"/>
    <w:rsid w:val="005C65D5"/>
    <w:rsid w:val="005E164D"/>
    <w:rsid w:val="005E3F23"/>
    <w:rsid w:val="005F6E32"/>
    <w:rsid w:val="00600285"/>
    <w:rsid w:val="006032D3"/>
    <w:rsid w:val="0060397E"/>
    <w:rsid w:val="006050B0"/>
    <w:rsid w:val="0060587F"/>
    <w:rsid w:val="00614066"/>
    <w:rsid w:val="006147F4"/>
    <w:rsid w:val="0061593E"/>
    <w:rsid w:val="00632893"/>
    <w:rsid w:val="00635ED6"/>
    <w:rsid w:val="006373CA"/>
    <w:rsid w:val="00641423"/>
    <w:rsid w:val="00642864"/>
    <w:rsid w:val="006442CA"/>
    <w:rsid w:val="006503E3"/>
    <w:rsid w:val="0065132B"/>
    <w:rsid w:val="00655A3D"/>
    <w:rsid w:val="00656A34"/>
    <w:rsid w:val="006579BC"/>
    <w:rsid w:val="00662901"/>
    <w:rsid w:val="006637FB"/>
    <w:rsid w:val="00672EC7"/>
    <w:rsid w:val="006831F9"/>
    <w:rsid w:val="00687ACA"/>
    <w:rsid w:val="006928E3"/>
    <w:rsid w:val="006A0D58"/>
    <w:rsid w:val="006A1D04"/>
    <w:rsid w:val="006A27E2"/>
    <w:rsid w:val="006A60BE"/>
    <w:rsid w:val="006A6DBB"/>
    <w:rsid w:val="006A7D78"/>
    <w:rsid w:val="006B0C1C"/>
    <w:rsid w:val="006B6922"/>
    <w:rsid w:val="006C147D"/>
    <w:rsid w:val="006C1DD9"/>
    <w:rsid w:val="006C2697"/>
    <w:rsid w:val="006D158B"/>
    <w:rsid w:val="006D3647"/>
    <w:rsid w:val="006D49B2"/>
    <w:rsid w:val="006E20D2"/>
    <w:rsid w:val="006E43EA"/>
    <w:rsid w:val="006E5714"/>
    <w:rsid w:val="006E6F9A"/>
    <w:rsid w:val="006E7A78"/>
    <w:rsid w:val="006F0373"/>
    <w:rsid w:val="006F07C7"/>
    <w:rsid w:val="006F16E6"/>
    <w:rsid w:val="006F28AB"/>
    <w:rsid w:val="006F43A7"/>
    <w:rsid w:val="006F68CF"/>
    <w:rsid w:val="00700A35"/>
    <w:rsid w:val="00701EE1"/>
    <w:rsid w:val="00702C96"/>
    <w:rsid w:val="00702EC2"/>
    <w:rsid w:val="00710BA7"/>
    <w:rsid w:val="00711DC6"/>
    <w:rsid w:val="00712EB0"/>
    <w:rsid w:val="00713E7A"/>
    <w:rsid w:val="00720746"/>
    <w:rsid w:val="00722AFC"/>
    <w:rsid w:val="00722C1B"/>
    <w:rsid w:val="00725A07"/>
    <w:rsid w:val="00726019"/>
    <w:rsid w:val="007270FB"/>
    <w:rsid w:val="00727696"/>
    <w:rsid w:val="0073028F"/>
    <w:rsid w:val="00731B35"/>
    <w:rsid w:val="00731BDF"/>
    <w:rsid w:val="00731E07"/>
    <w:rsid w:val="007329DB"/>
    <w:rsid w:val="0073407D"/>
    <w:rsid w:val="00741636"/>
    <w:rsid w:val="00741882"/>
    <w:rsid w:val="00744F29"/>
    <w:rsid w:val="007454CB"/>
    <w:rsid w:val="00750E9A"/>
    <w:rsid w:val="00752C42"/>
    <w:rsid w:val="00753C02"/>
    <w:rsid w:val="00757B9D"/>
    <w:rsid w:val="00757BE8"/>
    <w:rsid w:val="00760200"/>
    <w:rsid w:val="00764740"/>
    <w:rsid w:val="00764D8C"/>
    <w:rsid w:val="00770C48"/>
    <w:rsid w:val="00770FE5"/>
    <w:rsid w:val="007812BF"/>
    <w:rsid w:val="007869FC"/>
    <w:rsid w:val="007912FA"/>
    <w:rsid w:val="00794F6D"/>
    <w:rsid w:val="007A26FE"/>
    <w:rsid w:val="007A4350"/>
    <w:rsid w:val="007A517E"/>
    <w:rsid w:val="007B054C"/>
    <w:rsid w:val="007B14B6"/>
    <w:rsid w:val="007C3480"/>
    <w:rsid w:val="007C35D5"/>
    <w:rsid w:val="007C6B12"/>
    <w:rsid w:val="007D4ED8"/>
    <w:rsid w:val="007D5ED3"/>
    <w:rsid w:val="007D6CE7"/>
    <w:rsid w:val="007E0795"/>
    <w:rsid w:val="007E56D9"/>
    <w:rsid w:val="007E7936"/>
    <w:rsid w:val="007F2322"/>
    <w:rsid w:val="007F2B23"/>
    <w:rsid w:val="007F3841"/>
    <w:rsid w:val="0080070F"/>
    <w:rsid w:val="008020A4"/>
    <w:rsid w:val="0080224A"/>
    <w:rsid w:val="00802A32"/>
    <w:rsid w:val="00803302"/>
    <w:rsid w:val="00804918"/>
    <w:rsid w:val="00804CD1"/>
    <w:rsid w:val="0080618E"/>
    <w:rsid w:val="00813E94"/>
    <w:rsid w:val="008141F8"/>
    <w:rsid w:val="008239FE"/>
    <w:rsid w:val="0083126E"/>
    <w:rsid w:val="00833745"/>
    <w:rsid w:val="0083469E"/>
    <w:rsid w:val="00837C2B"/>
    <w:rsid w:val="00844D22"/>
    <w:rsid w:val="00855176"/>
    <w:rsid w:val="00860CEE"/>
    <w:rsid w:val="0086403D"/>
    <w:rsid w:val="008672C9"/>
    <w:rsid w:val="008744EE"/>
    <w:rsid w:val="00874DA6"/>
    <w:rsid w:val="00875B1A"/>
    <w:rsid w:val="008828A5"/>
    <w:rsid w:val="008858EA"/>
    <w:rsid w:val="008949B4"/>
    <w:rsid w:val="008A1F4A"/>
    <w:rsid w:val="008A4737"/>
    <w:rsid w:val="008A4ABC"/>
    <w:rsid w:val="008B3B53"/>
    <w:rsid w:val="008C488C"/>
    <w:rsid w:val="008C7374"/>
    <w:rsid w:val="008C74E1"/>
    <w:rsid w:val="008D0CE6"/>
    <w:rsid w:val="008D1944"/>
    <w:rsid w:val="008D44C6"/>
    <w:rsid w:val="008D596D"/>
    <w:rsid w:val="008D6780"/>
    <w:rsid w:val="008E0138"/>
    <w:rsid w:val="008E142D"/>
    <w:rsid w:val="008E1A5E"/>
    <w:rsid w:val="008E41C8"/>
    <w:rsid w:val="008E45C2"/>
    <w:rsid w:val="008F0C8E"/>
    <w:rsid w:val="008F2260"/>
    <w:rsid w:val="008F245D"/>
    <w:rsid w:val="008F43D0"/>
    <w:rsid w:val="008F4482"/>
    <w:rsid w:val="008F4643"/>
    <w:rsid w:val="008F5017"/>
    <w:rsid w:val="008F52C1"/>
    <w:rsid w:val="008F5CD4"/>
    <w:rsid w:val="008F6749"/>
    <w:rsid w:val="00906DC6"/>
    <w:rsid w:val="0091009D"/>
    <w:rsid w:val="00911930"/>
    <w:rsid w:val="00920143"/>
    <w:rsid w:val="00920BFA"/>
    <w:rsid w:val="00923713"/>
    <w:rsid w:val="00927C5D"/>
    <w:rsid w:val="009374E4"/>
    <w:rsid w:val="00940EF4"/>
    <w:rsid w:val="009410A5"/>
    <w:rsid w:val="0094200F"/>
    <w:rsid w:val="00947012"/>
    <w:rsid w:val="0094761C"/>
    <w:rsid w:val="00952B90"/>
    <w:rsid w:val="00954BDA"/>
    <w:rsid w:val="009561B0"/>
    <w:rsid w:val="00956371"/>
    <w:rsid w:val="00975445"/>
    <w:rsid w:val="00982C7B"/>
    <w:rsid w:val="00984655"/>
    <w:rsid w:val="00996F31"/>
    <w:rsid w:val="009971AC"/>
    <w:rsid w:val="00997C35"/>
    <w:rsid w:val="009A1F07"/>
    <w:rsid w:val="009A6092"/>
    <w:rsid w:val="009B2B42"/>
    <w:rsid w:val="009B7458"/>
    <w:rsid w:val="009C6884"/>
    <w:rsid w:val="009C709F"/>
    <w:rsid w:val="009D4F22"/>
    <w:rsid w:val="009D65DF"/>
    <w:rsid w:val="009D71C9"/>
    <w:rsid w:val="009E0C8C"/>
    <w:rsid w:val="009E4E7E"/>
    <w:rsid w:val="009E6819"/>
    <w:rsid w:val="009F14D9"/>
    <w:rsid w:val="009F1958"/>
    <w:rsid w:val="009F5BDC"/>
    <w:rsid w:val="009F6603"/>
    <w:rsid w:val="00A0427C"/>
    <w:rsid w:val="00A073E6"/>
    <w:rsid w:val="00A07E14"/>
    <w:rsid w:val="00A11332"/>
    <w:rsid w:val="00A12ADC"/>
    <w:rsid w:val="00A159FB"/>
    <w:rsid w:val="00A170B0"/>
    <w:rsid w:val="00A173CE"/>
    <w:rsid w:val="00A21443"/>
    <w:rsid w:val="00A30836"/>
    <w:rsid w:val="00A313BE"/>
    <w:rsid w:val="00A31E8C"/>
    <w:rsid w:val="00A332D5"/>
    <w:rsid w:val="00A3356D"/>
    <w:rsid w:val="00A34612"/>
    <w:rsid w:val="00A36FE5"/>
    <w:rsid w:val="00A4073F"/>
    <w:rsid w:val="00A41026"/>
    <w:rsid w:val="00A41D64"/>
    <w:rsid w:val="00A51859"/>
    <w:rsid w:val="00A54846"/>
    <w:rsid w:val="00A55D6E"/>
    <w:rsid w:val="00A55E98"/>
    <w:rsid w:val="00A56E52"/>
    <w:rsid w:val="00A64AE5"/>
    <w:rsid w:val="00A65232"/>
    <w:rsid w:val="00A65B00"/>
    <w:rsid w:val="00A74024"/>
    <w:rsid w:val="00A74F97"/>
    <w:rsid w:val="00A7602B"/>
    <w:rsid w:val="00A76D3A"/>
    <w:rsid w:val="00A806DE"/>
    <w:rsid w:val="00A9043F"/>
    <w:rsid w:val="00A9138C"/>
    <w:rsid w:val="00A92CC1"/>
    <w:rsid w:val="00A942AC"/>
    <w:rsid w:val="00A972D0"/>
    <w:rsid w:val="00A97783"/>
    <w:rsid w:val="00AA4757"/>
    <w:rsid w:val="00AA64D1"/>
    <w:rsid w:val="00AB04FD"/>
    <w:rsid w:val="00AB10C2"/>
    <w:rsid w:val="00AB6864"/>
    <w:rsid w:val="00AB78E2"/>
    <w:rsid w:val="00AC051F"/>
    <w:rsid w:val="00AD6739"/>
    <w:rsid w:val="00AD7C6B"/>
    <w:rsid w:val="00AE0DC2"/>
    <w:rsid w:val="00AE22D6"/>
    <w:rsid w:val="00AE48CC"/>
    <w:rsid w:val="00AE63ED"/>
    <w:rsid w:val="00AE7FA5"/>
    <w:rsid w:val="00AF0990"/>
    <w:rsid w:val="00AF2BDE"/>
    <w:rsid w:val="00AF3D5F"/>
    <w:rsid w:val="00B0000A"/>
    <w:rsid w:val="00B01FE0"/>
    <w:rsid w:val="00B04709"/>
    <w:rsid w:val="00B10504"/>
    <w:rsid w:val="00B14ACD"/>
    <w:rsid w:val="00B15065"/>
    <w:rsid w:val="00B15C9D"/>
    <w:rsid w:val="00B1661D"/>
    <w:rsid w:val="00B22632"/>
    <w:rsid w:val="00B233A0"/>
    <w:rsid w:val="00B25612"/>
    <w:rsid w:val="00B31785"/>
    <w:rsid w:val="00B31D14"/>
    <w:rsid w:val="00B32835"/>
    <w:rsid w:val="00B352D0"/>
    <w:rsid w:val="00B41278"/>
    <w:rsid w:val="00B41C09"/>
    <w:rsid w:val="00B430AE"/>
    <w:rsid w:val="00B44B26"/>
    <w:rsid w:val="00B464DB"/>
    <w:rsid w:val="00B511F4"/>
    <w:rsid w:val="00B548EB"/>
    <w:rsid w:val="00B54D9B"/>
    <w:rsid w:val="00B565E5"/>
    <w:rsid w:val="00B57B45"/>
    <w:rsid w:val="00B60FDA"/>
    <w:rsid w:val="00B615F8"/>
    <w:rsid w:val="00B62798"/>
    <w:rsid w:val="00B63006"/>
    <w:rsid w:val="00B636C4"/>
    <w:rsid w:val="00B65EC4"/>
    <w:rsid w:val="00B66117"/>
    <w:rsid w:val="00B66FBC"/>
    <w:rsid w:val="00B7205E"/>
    <w:rsid w:val="00B72870"/>
    <w:rsid w:val="00B74BB9"/>
    <w:rsid w:val="00B74E16"/>
    <w:rsid w:val="00B75DF6"/>
    <w:rsid w:val="00B7676F"/>
    <w:rsid w:val="00B77ACF"/>
    <w:rsid w:val="00B85CB1"/>
    <w:rsid w:val="00B9069A"/>
    <w:rsid w:val="00B90BC1"/>
    <w:rsid w:val="00B94AD5"/>
    <w:rsid w:val="00B95DE1"/>
    <w:rsid w:val="00B963C7"/>
    <w:rsid w:val="00BA1F67"/>
    <w:rsid w:val="00BA421A"/>
    <w:rsid w:val="00BA470F"/>
    <w:rsid w:val="00BA78AF"/>
    <w:rsid w:val="00BB0D07"/>
    <w:rsid w:val="00BB449A"/>
    <w:rsid w:val="00BB6CDF"/>
    <w:rsid w:val="00BB7809"/>
    <w:rsid w:val="00BC404C"/>
    <w:rsid w:val="00BC42F5"/>
    <w:rsid w:val="00BD07F4"/>
    <w:rsid w:val="00BD0906"/>
    <w:rsid w:val="00BD09FC"/>
    <w:rsid w:val="00BD2D82"/>
    <w:rsid w:val="00BE1499"/>
    <w:rsid w:val="00BE643D"/>
    <w:rsid w:val="00BE6B62"/>
    <w:rsid w:val="00BF0602"/>
    <w:rsid w:val="00C02089"/>
    <w:rsid w:val="00C03379"/>
    <w:rsid w:val="00C13458"/>
    <w:rsid w:val="00C138BD"/>
    <w:rsid w:val="00C13EF9"/>
    <w:rsid w:val="00C140B3"/>
    <w:rsid w:val="00C1434F"/>
    <w:rsid w:val="00C159F5"/>
    <w:rsid w:val="00C15F65"/>
    <w:rsid w:val="00C1629B"/>
    <w:rsid w:val="00C206A5"/>
    <w:rsid w:val="00C211C1"/>
    <w:rsid w:val="00C21956"/>
    <w:rsid w:val="00C22C11"/>
    <w:rsid w:val="00C247CA"/>
    <w:rsid w:val="00C24B3A"/>
    <w:rsid w:val="00C26116"/>
    <w:rsid w:val="00C3102B"/>
    <w:rsid w:val="00C36095"/>
    <w:rsid w:val="00C51768"/>
    <w:rsid w:val="00C5304A"/>
    <w:rsid w:val="00C66D4E"/>
    <w:rsid w:val="00C67DB0"/>
    <w:rsid w:val="00C70640"/>
    <w:rsid w:val="00C84731"/>
    <w:rsid w:val="00C96859"/>
    <w:rsid w:val="00CA0BFD"/>
    <w:rsid w:val="00CA17AE"/>
    <w:rsid w:val="00CA2062"/>
    <w:rsid w:val="00CA20F4"/>
    <w:rsid w:val="00CA2A23"/>
    <w:rsid w:val="00CA7664"/>
    <w:rsid w:val="00CB0984"/>
    <w:rsid w:val="00CC1A22"/>
    <w:rsid w:val="00CC6EAF"/>
    <w:rsid w:val="00CD0B3D"/>
    <w:rsid w:val="00CD4A90"/>
    <w:rsid w:val="00CD565C"/>
    <w:rsid w:val="00CD5CCF"/>
    <w:rsid w:val="00CD5DA8"/>
    <w:rsid w:val="00CE1AFF"/>
    <w:rsid w:val="00CE5667"/>
    <w:rsid w:val="00CE74FD"/>
    <w:rsid w:val="00CF1F40"/>
    <w:rsid w:val="00CF31EF"/>
    <w:rsid w:val="00CF5304"/>
    <w:rsid w:val="00CF66E5"/>
    <w:rsid w:val="00CF787A"/>
    <w:rsid w:val="00D008FE"/>
    <w:rsid w:val="00D00C3E"/>
    <w:rsid w:val="00D0400B"/>
    <w:rsid w:val="00D04D99"/>
    <w:rsid w:val="00D07BE9"/>
    <w:rsid w:val="00D07E16"/>
    <w:rsid w:val="00D11173"/>
    <w:rsid w:val="00D12396"/>
    <w:rsid w:val="00D1375E"/>
    <w:rsid w:val="00D139EE"/>
    <w:rsid w:val="00D13DBF"/>
    <w:rsid w:val="00D212B5"/>
    <w:rsid w:val="00D249BE"/>
    <w:rsid w:val="00D27AB3"/>
    <w:rsid w:val="00D317EB"/>
    <w:rsid w:val="00D31D2E"/>
    <w:rsid w:val="00D3533E"/>
    <w:rsid w:val="00D364C6"/>
    <w:rsid w:val="00D40468"/>
    <w:rsid w:val="00D4173A"/>
    <w:rsid w:val="00D43153"/>
    <w:rsid w:val="00D4375F"/>
    <w:rsid w:val="00D44678"/>
    <w:rsid w:val="00D447DB"/>
    <w:rsid w:val="00D45615"/>
    <w:rsid w:val="00D51723"/>
    <w:rsid w:val="00D5189A"/>
    <w:rsid w:val="00D530A9"/>
    <w:rsid w:val="00D61923"/>
    <w:rsid w:val="00D61FBB"/>
    <w:rsid w:val="00D63B0D"/>
    <w:rsid w:val="00D64485"/>
    <w:rsid w:val="00D658AC"/>
    <w:rsid w:val="00D66AB6"/>
    <w:rsid w:val="00D66D99"/>
    <w:rsid w:val="00D7058A"/>
    <w:rsid w:val="00D716BE"/>
    <w:rsid w:val="00D71FE5"/>
    <w:rsid w:val="00D7403C"/>
    <w:rsid w:val="00D74980"/>
    <w:rsid w:val="00D77377"/>
    <w:rsid w:val="00D77631"/>
    <w:rsid w:val="00D77F04"/>
    <w:rsid w:val="00D80178"/>
    <w:rsid w:val="00D80617"/>
    <w:rsid w:val="00D82700"/>
    <w:rsid w:val="00D85308"/>
    <w:rsid w:val="00D8620B"/>
    <w:rsid w:val="00D90644"/>
    <w:rsid w:val="00D96072"/>
    <w:rsid w:val="00D96D3E"/>
    <w:rsid w:val="00DA0DF8"/>
    <w:rsid w:val="00DA1965"/>
    <w:rsid w:val="00DA1D34"/>
    <w:rsid w:val="00DB5158"/>
    <w:rsid w:val="00DC0F30"/>
    <w:rsid w:val="00DC41FF"/>
    <w:rsid w:val="00DD1BB3"/>
    <w:rsid w:val="00DD5D5F"/>
    <w:rsid w:val="00DD683F"/>
    <w:rsid w:val="00DD71F7"/>
    <w:rsid w:val="00DE1246"/>
    <w:rsid w:val="00DE1434"/>
    <w:rsid w:val="00DE16D7"/>
    <w:rsid w:val="00DE2770"/>
    <w:rsid w:val="00DE4A97"/>
    <w:rsid w:val="00DE5B3D"/>
    <w:rsid w:val="00DE6A7B"/>
    <w:rsid w:val="00DF070B"/>
    <w:rsid w:val="00DF5063"/>
    <w:rsid w:val="00DF5F85"/>
    <w:rsid w:val="00E01552"/>
    <w:rsid w:val="00E044DA"/>
    <w:rsid w:val="00E04B19"/>
    <w:rsid w:val="00E0608E"/>
    <w:rsid w:val="00E06AC6"/>
    <w:rsid w:val="00E11FF3"/>
    <w:rsid w:val="00E146DD"/>
    <w:rsid w:val="00E15472"/>
    <w:rsid w:val="00E1726F"/>
    <w:rsid w:val="00E20CF8"/>
    <w:rsid w:val="00E3063B"/>
    <w:rsid w:val="00E44BFE"/>
    <w:rsid w:val="00E57690"/>
    <w:rsid w:val="00E57EA8"/>
    <w:rsid w:val="00E71E1B"/>
    <w:rsid w:val="00E74096"/>
    <w:rsid w:val="00E77405"/>
    <w:rsid w:val="00E8033E"/>
    <w:rsid w:val="00E80D34"/>
    <w:rsid w:val="00E810F4"/>
    <w:rsid w:val="00E825F8"/>
    <w:rsid w:val="00E85CB1"/>
    <w:rsid w:val="00E86D78"/>
    <w:rsid w:val="00E87EBA"/>
    <w:rsid w:val="00E92497"/>
    <w:rsid w:val="00E92E83"/>
    <w:rsid w:val="00EA059B"/>
    <w:rsid w:val="00EA55FA"/>
    <w:rsid w:val="00EA5832"/>
    <w:rsid w:val="00EC0E40"/>
    <w:rsid w:val="00EC4559"/>
    <w:rsid w:val="00EC47C2"/>
    <w:rsid w:val="00EC4E5B"/>
    <w:rsid w:val="00ED1EAF"/>
    <w:rsid w:val="00ED2FE7"/>
    <w:rsid w:val="00ED4770"/>
    <w:rsid w:val="00ED65A4"/>
    <w:rsid w:val="00ED65B5"/>
    <w:rsid w:val="00EE0C83"/>
    <w:rsid w:val="00EE3CA5"/>
    <w:rsid w:val="00EE4DA9"/>
    <w:rsid w:val="00EE6319"/>
    <w:rsid w:val="00EF2579"/>
    <w:rsid w:val="00EF3E34"/>
    <w:rsid w:val="00F00367"/>
    <w:rsid w:val="00F02B8A"/>
    <w:rsid w:val="00F1234E"/>
    <w:rsid w:val="00F12964"/>
    <w:rsid w:val="00F142D7"/>
    <w:rsid w:val="00F1745A"/>
    <w:rsid w:val="00F20991"/>
    <w:rsid w:val="00F21778"/>
    <w:rsid w:val="00F313CE"/>
    <w:rsid w:val="00F33ECE"/>
    <w:rsid w:val="00F34416"/>
    <w:rsid w:val="00F3538B"/>
    <w:rsid w:val="00F360A4"/>
    <w:rsid w:val="00F37288"/>
    <w:rsid w:val="00F4002F"/>
    <w:rsid w:val="00F40CE7"/>
    <w:rsid w:val="00F415B6"/>
    <w:rsid w:val="00F41852"/>
    <w:rsid w:val="00F4498D"/>
    <w:rsid w:val="00F44AB6"/>
    <w:rsid w:val="00F4553E"/>
    <w:rsid w:val="00F46F8E"/>
    <w:rsid w:val="00F5331E"/>
    <w:rsid w:val="00F55CCC"/>
    <w:rsid w:val="00F6210A"/>
    <w:rsid w:val="00F64EC4"/>
    <w:rsid w:val="00F66145"/>
    <w:rsid w:val="00F711E6"/>
    <w:rsid w:val="00F714E1"/>
    <w:rsid w:val="00F71731"/>
    <w:rsid w:val="00F769A9"/>
    <w:rsid w:val="00F776C5"/>
    <w:rsid w:val="00F77E5A"/>
    <w:rsid w:val="00F81DEC"/>
    <w:rsid w:val="00F84E4C"/>
    <w:rsid w:val="00F855F0"/>
    <w:rsid w:val="00F9021A"/>
    <w:rsid w:val="00F91FB3"/>
    <w:rsid w:val="00F954AF"/>
    <w:rsid w:val="00F95964"/>
    <w:rsid w:val="00F96F45"/>
    <w:rsid w:val="00F97B04"/>
    <w:rsid w:val="00FA5BB7"/>
    <w:rsid w:val="00FA6D0F"/>
    <w:rsid w:val="00FB154E"/>
    <w:rsid w:val="00FB2CBE"/>
    <w:rsid w:val="00FB31A7"/>
    <w:rsid w:val="00FB3D34"/>
    <w:rsid w:val="00FC1A33"/>
    <w:rsid w:val="00FC6D17"/>
    <w:rsid w:val="00FD2238"/>
    <w:rsid w:val="00FD485D"/>
    <w:rsid w:val="00FD7239"/>
    <w:rsid w:val="00FD72B9"/>
    <w:rsid w:val="00FE212A"/>
    <w:rsid w:val="00FE38D4"/>
    <w:rsid w:val="00FE5EEF"/>
    <w:rsid w:val="00FE6362"/>
    <w:rsid w:val="00FF36FC"/>
    <w:rsid w:val="00FF5C9B"/>
    <w:rsid w:val="0DD50B06"/>
    <w:rsid w:val="15E50747"/>
    <w:rsid w:val="1FAC73CB"/>
    <w:rsid w:val="24485B15"/>
    <w:rsid w:val="27B22D04"/>
    <w:rsid w:val="2F4748A4"/>
    <w:rsid w:val="331E2C0F"/>
    <w:rsid w:val="3A7E7074"/>
    <w:rsid w:val="5F4B326F"/>
    <w:rsid w:val="5FE34920"/>
    <w:rsid w:val="7D133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0" w:line="360" w:lineRule="auto"/>
      <w:ind w:firstLine="480" w:firstLineChars="200"/>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cstheme="majorBidi"/>
      <w:b/>
      <w:color w:val="000000" w:themeColor="text1"/>
      <w:sz w:val="30"/>
      <w:szCs w:val="48"/>
      <w14:textFill>
        <w14:solidFill>
          <w14:schemeClr w14:val="tx1"/>
        </w14:solidFill>
      </w14:textFill>
    </w:rPr>
  </w:style>
  <w:style w:type="paragraph" w:styleId="3">
    <w:name w:val="heading 2"/>
    <w:basedOn w:val="1"/>
    <w:next w:val="1"/>
    <w:link w:val="25"/>
    <w:autoRedefine/>
    <w:unhideWhenUsed/>
    <w:qFormat/>
    <w:uiPriority w:val="9"/>
    <w:pPr>
      <w:spacing w:line="278" w:lineRule="auto"/>
      <w:outlineLvl w:val="1"/>
    </w:pPr>
    <w:rPr>
      <w:b/>
    </w:rPr>
  </w:style>
  <w:style w:type="paragraph" w:styleId="4">
    <w:name w:val="heading 3"/>
    <w:basedOn w:val="1"/>
    <w:next w:val="1"/>
    <w:link w:val="26"/>
    <w:autoRedefine/>
    <w:unhideWhenUsed/>
    <w:qFormat/>
    <w:uiPriority w:val="9"/>
    <w:pPr>
      <w:keepNext/>
      <w:keepLines/>
      <w:spacing w:before="160" w:after="80"/>
      <w:outlineLvl w:val="2"/>
    </w:pPr>
    <w:rPr>
      <w:rFonts w:asciiTheme="majorHAnsi" w:hAnsiTheme="majorHAnsi" w:cstheme="majorBidi"/>
      <w:b/>
      <w:szCs w:val="32"/>
    </w:rPr>
  </w:style>
  <w:style w:type="paragraph" w:styleId="5">
    <w:name w:val="heading 4"/>
    <w:basedOn w:val="1"/>
    <w:next w:val="1"/>
    <w:link w:val="27"/>
    <w:autoRedefine/>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2F5597" w:themeColor="accent1" w:themeShade="BF"/>
    </w:rPr>
  </w:style>
  <w:style w:type="paragraph" w:styleId="7">
    <w:name w:val="heading 6"/>
    <w:basedOn w:val="1"/>
    <w:next w:val="1"/>
    <w:link w:val="29"/>
    <w:autoRedefine/>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0"/>
    <w:autoRedefine/>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autoRedefine/>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11">
    <w:name w:val="annotation text"/>
    <w:basedOn w:val="1"/>
    <w:link w:val="46"/>
    <w:autoRedefine/>
    <w:unhideWhenUsed/>
    <w:qFormat/>
    <w:uiPriority w:val="99"/>
  </w:style>
  <w:style w:type="paragraph" w:styleId="12">
    <w:name w:val="footer"/>
    <w:basedOn w:val="1"/>
    <w:link w:val="49"/>
    <w:autoRedefine/>
    <w:unhideWhenUsed/>
    <w:qFormat/>
    <w:uiPriority w:val="99"/>
    <w:pPr>
      <w:tabs>
        <w:tab w:val="center" w:pos="4153"/>
        <w:tab w:val="right" w:pos="8306"/>
      </w:tabs>
      <w:snapToGrid w:val="0"/>
      <w:spacing w:line="240" w:lineRule="auto"/>
    </w:pPr>
    <w:rPr>
      <w:sz w:val="18"/>
      <w:szCs w:val="18"/>
    </w:rPr>
  </w:style>
  <w:style w:type="paragraph" w:styleId="13">
    <w:name w:val="header"/>
    <w:basedOn w:val="1"/>
    <w:link w:val="48"/>
    <w:autoRedefine/>
    <w:unhideWhenUsed/>
    <w:qFormat/>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4"/>
    <w:autoRedefine/>
    <w:qFormat/>
    <w:uiPriority w:val="11"/>
    <w:pPr>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autoRedefine/>
    <w:semiHidden/>
    <w:unhideWhenUsed/>
    <w:qFormat/>
    <w:uiPriority w:val="99"/>
    <w:rPr>
      <w:rFonts w:cs="Times New Roman"/>
    </w:rPr>
  </w:style>
  <w:style w:type="paragraph" w:styleId="16">
    <w:name w:val="Title"/>
    <w:basedOn w:val="1"/>
    <w:next w:val="1"/>
    <w:link w:val="33"/>
    <w:autoRedefine/>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annotation subject"/>
    <w:basedOn w:val="11"/>
    <w:next w:val="11"/>
    <w:link w:val="47"/>
    <w:autoRedefine/>
    <w:semiHidden/>
    <w:unhideWhenUsed/>
    <w:qFormat/>
    <w:uiPriority w:val="99"/>
    <w:rPr>
      <w:b/>
      <w:bCs/>
    </w:rPr>
  </w:style>
  <w:style w:type="character" w:styleId="20">
    <w:name w:val="Strong"/>
    <w:basedOn w:val="19"/>
    <w:qFormat/>
    <w:uiPriority w:val="22"/>
    <w:rPr>
      <w:b/>
    </w:rPr>
  </w:style>
  <w:style w:type="character" w:styleId="21">
    <w:name w:val="FollowedHyperlink"/>
    <w:basedOn w:val="19"/>
    <w:autoRedefine/>
    <w:semiHidden/>
    <w:unhideWhenUsed/>
    <w:qFormat/>
    <w:uiPriority w:val="99"/>
    <w:rPr>
      <w:color w:val="954F72" w:themeColor="followedHyperlink"/>
      <w:u w:val="single"/>
      <w14:textFill>
        <w14:solidFill>
          <w14:schemeClr w14:val="folHlink"/>
        </w14:solidFill>
      </w14:textFill>
    </w:rPr>
  </w:style>
  <w:style w:type="character" w:styleId="22">
    <w:name w:val="Hyperlink"/>
    <w:basedOn w:val="19"/>
    <w:autoRedefine/>
    <w:unhideWhenUsed/>
    <w:qFormat/>
    <w:uiPriority w:val="99"/>
    <w:rPr>
      <w:color w:val="0563C1" w:themeColor="hyperlink"/>
      <w:u w:val="single"/>
      <w14:textFill>
        <w14:solidFill>
          <w14:schemeClr w14:val="hlink"/>
        </w14:solidFill>
      </w14:textFill>
    </w:rPr>
  </w:style>
  <w:style w:type="character" w:styleId="23">
    <w:name w:val="annotation reference"/>
    <w:basedOn w:val="19"/>
    <w:autoRedefine/>
    <w:semiHidden/>
    <w:unhideWhenUsed/>
    <w:qFormat/>
    <w:uiPriority w:val="99"/>
    <w:rPr>
      <w:sz w:val="21"/>
      <w:szCs w:val="21"/>
    </w:rPr>
  </w:style>
  <w:style w:type="character" w:customStyle="1" w:styleId="24">
    <w:name w:val="标题 1 字符"/>
    <w:basedOn w:val="19"/>
    <w:link w:val="2"/>
    <w:autoRedefine/>
    <w:qFormat/>
    <w:uiPriority w:val="9"/>
    <w:rPr>
      <w:rFonts w:eastAsia="宋体" w:asciiTheme="majorHAnsi" w:hAnsiTheme="majorHAnsi" w:cstheme="majorBidi"/>
      <w:b/>
      <w:color w:val="000000" w:themeColor="text1"/>
      <w:sz w:val="30"/>
      <w:szCs w:val="48"/>
      <w14:textFill>
        <w14:solidFill>
          <w14:schemeClr w14:val="tx1"/>
        </w14:solidFill>
      </w14:textFill>
    </w:rPr>
  </w:style>
  <w:style w:type="character" w:customStyle="1" w:styleId="25">
    <w:name w:val="标题 2 字符"/>
    <w:basedOn w:val="19"/>
    <w:link w:val="3"/>
    <w:autoRedefine/>
    <w:qFormat/>
    <w:uiPriority w:val="9"/>
    <w:rPr>
      <w:rFonts w:eastAsia="宋体"/>
      <w:b/>
      <w:sz w:val="24"/>
    </w:rPr>
  </w:style>
  <w:style w:type="character" w:customStyle="1" w:styleId="26">
    <w:name w:val="标题 3 字符"/>
    <w:basedOn w:val="19"/>
    <w:link w:val="4"/>
    <w:autoRedefine/>
    <w:qFormat/>
    <w:uiPriority w:val="9"/>
    <w:rPr>
      <w:rFonts w:eastAsia="宋体" w:asciiTheme="majorHAnsi" w:hAnsiTheme="majorHAnsi" w:cstheme="majorBidi"/>
      <w:b/>
      <w:sz w:val="24"/>
      <w:szCs w:val="32"/>
    </w:rPr>
  </w:style>
  <w:style w:type="character" w:customStyle="1" w:styleId="27">
    <w:name w:val="标题 4 字符"/>
    <w:basedOn w:val="19"/>
    <w:link w:val="5"/>
    <w:autoRedefine/>
    <w:qFormat/>
    <w:uiPriority w:val="9"/>
    <w:rPr>
      <w:rFonts w:cstheme="majorBidi"/>
      <w:color w:val="2F5597" w:themeColor="accent1" w:themeShade="BF"/>
      <w:sz w:val="28"/>
      <w:szCs w:val="28"/>
    </w:rPr>
  </w:style>
  <w:style w:type="character" w:customStyle="1" w:styleId="28">
    <w:name w:val="标题 5 字符"/>
    <w:basedOn w:val="19"/>
    <w:link w:val="6"/>
    <w:autoRedefine/>
    <w:semiHidden/>
    <w:qFormat/>
    <w:uiPriority w:val="9"/>
    <w:rPr>
      <w:rFonts w:cstheme="majorBidi"/>
      <w:color w:val="2F5597" w:themeColor="accent1" w:themeShade="BF"/>
      <w:sz w:val="24"/>
    </w:rPr>
  </w:style>
  <w:style w:type="character" w:customStyle="1" w:styleId="29">
    <w:name w:val="标题 6 字符"/>
    <w:basedOn w:val="19"/>
    <w:link w:val="7"/>
    <w:autoRedefine/>
    <w:semiHidden/>
    <w:qFormat/>
    <w:uiPriority w:val="9"/>
    <w:rPr>
      <w:rFonts w:cstheme="majorBidi"/>
      <w:b/>
      <w:bCs/>
      <w:color w:val="2F5597" w:themeColor="accent1" w:themeShade="BF"/>
    </w:rPr>
  </w:style>
  <w:style w:type="character" w:customStyle="1" w:styleId="30">
    <w:name w:val="标题 7 字符"/>
    <w:basedOn w:val="19"/>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19"/>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19"/>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19"/>
    <w:link w:val="16"/>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19"/>
    <w:link w:val="14"/>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19"/>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Intense Emphasis"/>
    <w:basedOn w:val="19"/>
    <w:autoRedefine/>
    <w:qFormat/>
    <w:uiPriority w:val="21"/>
    <w:rPr>
      <w:i/>
      <w:iCs/>
      <w:color w:val="2F5597" w:themeColor="accent1" w:themeShade="BF"/>
    </w:rPr>
  </w:style>
  <w:style w:type="paragraph" w:styleId="39">
    <w:name w:val="Intense Quote"/>
    <w:basedOn w:val="1"/>
    <w:next w:val="1"/>
    <w:link w:val="40"/>
    <w:autoRedefine/>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19"/>
    <w:link w:val="39"/>
    <w:autoRedefine/>
    <w:qFormat/>
    <w:uiPriority w:val="30"/>
    <w:rPr>
      <w:i/>
      <w:iCs/>
      <w:color w:val="2F5597" w:themeColor="accent1" w:themeShade="BF"/>
    </w:rPr>
  </w:style>
  <w:style w:type="character" w:customStyle="1" w:styleId="41">
    <w:name w:val="Intense Reference"/>
    <w:basedOn w:val="19"/>
    <w:autoRedefine/>
    <w:qFormat/>
    <w:uiPriority w:val="32"/>
    <w:rPr>
      <w:b/>
      <w:bCs/>
      <w:smallCaps/>
      <w:color w:val="2F5597" w:themeColor="accent1" w:themeShade="BF"/>
      <w:spacing w:val="5"/>
    </w:rPr>
  </w:style>
  <w:style w:type="character" w:customStyle="1" w:styleId="42">
    <w:name w:val="Unresolved Mention"/>
    <w:basedOn w:val="19"/>
    <w:autoRedefine/>
    <w:semiHidden/>
    <w:unhideWhenUsed/>
    <w:qFormat/>
    <w:uiPriority w:val="99"/>
    <w:rPr>
      <w:color w:val="605E5C"/>
      <w:shd w:val="clear" w:color="auto" w:fill="E1DFDD"/>
    </w:rPr>
  </w:style>
  <w:style w:type="paragraph" w:customStyle="1" w:styleId="43">
    <w:name w:val="公式"/>
    <w:basedOn w:val="1"/>
    <w:link w:val="44"/>
    <w:autoRedefine/>
    <w:qFormat/>
    <w:uiPriority w:val="0"/>
    <w:pPr>
      <w:tabs>
        <w:tab w:val="center" w:pos="4630"/>
        <w:tab w:val="right" w:pos="8301"/>
      </w:tabs>
      <w:jc w:val="right"/>
      <w:textAlignment w:val="center"/>
    </w:pPr>
  </w:style>
  <w:style w:type="character" w:customStyle="1" w:styleId="44">
    <w:name w:val="公式 字符"/>
    <w:basedOn w:val="19"/>
    <w:link w:val="43"/>
    <w:autoRedefine/>
    <w:qFormat/>
    <w:uiPriority w:val="0"/>
    <w:rPr>
      <w:rFonts w:ascii="Times New Roman" w:hAnsi="Times New Roman" w:eastAsia="宋体"/>
      <w:sz w:val="24"/>
    </w:rPr>
  </w:style>
  <w:style w:type="character" w:styleId="45">
    <w:name w:val="Placeholder Text"/>
    <w:basedOn w:val="19"/>
    <w:autoRedefine/>
    <w:semiHidden/>
    <w:qFormat/>
    <w:uiPriority w:val="99"/>
    <w:rPr>
      <w:color w:val="666666"/>
    </w:rPr>
  </w:style>
  <w:style w:type="character" w:customStyle="1" w:styleId="46">
    <w:name w:val="批注文字 字符"/>
    <w:basedOn w:val="19"/>
    <w:link w:val="11"/>
    <w:autoRedefine/>
    <w:qFormat/>
    <w:uiPriority w:val="99"/>
    <w:rPr>
      <w:rFonts w:eastAsia="宋体"/>
      <w:sz w:val="24"/>
    </w:rPr>
  </w:style>
  <w:style w:type="character" w:customStyle="1" w:styleId="47">
    <w:name w:val="批注主题 字符"/>
    <w:basedOn w:val="46"/>
    <w:link w:val="17"/>
    <w:autoRedefine/>
    <w:semiHidden/>
    <w:qFormat/>
    <w:uiPriority w:val="99"/>
    <w:rPr>
      <w:rFonts w:eastAsia="宋体"/>
      <w:b/>
      <w:bCs/>
      <w:sz w:val="24"/>
    </w:rPr>
  </w:style>
  <w:style w:type="character" w:customStyle="1" w:styleId="48">
    <w:name w:val="页眉 字符"/>
    <w:basedOn w:val="19"/>
    <w:link w:val="13"/>
    <w:autoRedefine/>
    <w:qFormat/>
    <w:uiPriority w:val="99"/>
    <w:rPr>
      <w:rFonts w:eastAsia="宋体"/>
      <w:sz w:val="18"/>
      <w:szCs w:val="18"/>
    </w:rPr>
  </w:style>
  <w:style w:type="character" w:customStyle="1" w:styleId="49">
    <w:name w:val="页脚 字符"/>
    <w:basedOn w:val="19"/>
    <w:link w:val="12"/>
    <w:autoRedefine/>
    <w:qFormat/>
    <w:uiPriority w:val="99"/>
    <w:rPr>
      <w:rFonts w:eastAsia="宋体"/>
      <w:sz w:val="18"/>
      <w:szCs w:val="18"/>
    </w:rPr>
  </w:style>
  <w:style w:type="character" w:customStyle="1" w:styleId="50">
    <w:name w:val="MTConvertedEquation"/>
    <w:basedOn w:val="19"/>
    <w:autoRedefine/>
    <w:qFormat/>
    <w:uiPriority w:val="0"/>
  </w:style>
  <w:style w:type="paragraph" w:styleId="51">
    <w:name w:val="No Spacing"/>
    <w:autoRedefine/>
    <w:qFormat/>
    <w:uiPriority w:val="1"/>
    <w:pPr>
      <w:widowControl w:val="0"/>
      <w:spacing w:after="0" w:line="240" w:lineRule="auto"/>
      <w:ind w:firstLine="200" w:firstLineChars="200"/>
    </w:pPr>
    <w:rPr>
      <w:rFonts w:ascii="Times New Roman" w:hAnsi="Times New Roman" w:eastAsia="宋体" w:cstheme="minorBidi"/>
      <w:kern w:val="2"/>
      <w:sz w:val="24"/>
      <w:szCs w:val="24"/>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7D560-41D6-420B-89D7-05D7BF1CBAB1}">
  <ds:schemaRefs/>
</ds:datastoreItem>
</file>

<file path=docProps/app.xml><?xml version="1.0" encoding="utf-8"?>
<Properties xmlns="http://schemas.openxmlformats.org/officeDocument/2006/extended-properties" xmlns:vt="http://schemas.openxmlformats.org/officeDocument/2006/docPropsVTypes">
  <Template>Normal</Template>
  <Pages>13</Pages>
  <Words>3585</Words>
  <Characters>4625</Characters>
  <Lines>165</Lines>
  <Paragraphs>97</Paragraphs>
  <TotalTime>841</TotalTime>
  <ScaleCrop>false</ScaleCrop>
  <LinksUpToDate>false</LinksUpToDate>
  <CharactersWithSpaces>8113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2026-03-17T13:05:00Z</dcterms:created>
  <dc:creator>Lenovo</dc:creator>
  <cp:lastModifiedBy>黄咏杰</cp:lastModifiedBy>
  <dcterms:modified xsi:type="dcterms:W3CDTF">2026-07-03T03:42:15Z</dcterms:modified>
  <cp:revision>364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2052-12.1.0.16120</vt:lpwstr>
  </property>
  <property fmtid="{D5CDD505-2E9C-101B-9397-08002B2CF9AE}" pid="4" name="ICV">
    <vt:lpwstr>15D230B8144A45ED8052D1200543B2CC_13</vt:lpwstr>
  </property>
</Properties>
</file>