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sz w:val="36"/>
          <w:szCs w:val="36"/>
        </w:rPr>
      </w:pPr>
      <w:r>
        <w:rPr>
          <w:sz w:val="36"/>
          <w:szCs w:val="36"/>
        </w:rPr>
        <w:t>课程作业认识、体会与心得总结：从《蛙》的数据分析看数字人文的学术魅力与挑战</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本次课程作业围绕“数据视角下的‘蛙鸣’：基于文本分析的莫言《蛙》叙事风格与意象网络挖掘”这一研究展开，要求我们基于提供的学术论文（或相关研究材料），深入理解数字人文技术在经典文学文本分析中的应用逻辑，并结合自身学习过程总结对课程内容、研究方法及学术思维的认知与反思。通过系统研读材料、梳理研究框架、尝试复现部分分析思路，我不仅对数字人文这一交叉学科有了直观认知，更深刻体会到数据技术与人文研究的碰撞如何为经典解读开辟新路径，同时也对学术研究的严谨性、局限性及人文精神的坚守有了更辩证的认识。</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一、对课程作业的初始认知：从“传统文学批评”到“数据驱动”的范式转换</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课程作业的核心研究对象是莫言获诺贝尔奖后的代表作《蛙》——一部以乡村女医生姑姑的人生经历为线索，深刻反映新中国近60年农村生育史、融合魔幻现实主义与乡土叙事的长篇小说。传统文学批评对《蛙》的解读已积累了丰富成果（如对其历史批判性、人性复杂性、魔幻笔法的定性分析），但本次作业聚焦的是“数据视角”：通过词频统计、句法复杂度计算、意象网络构建等量化方法，试图为经典文本提供客观的、可视化的分析支撑。</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最初接触这一任务时，我的困惑在于：“文学不是主观的艺术表达吗？数据能分析出什么？”但随着对研究背景的梳理，我逐渐意识到，数字人文并非要取代传统批评，而是以“工具理性”补充“人文感性”。正如材料中所述，传统批评多依赖研究者个体的阅读体验与理论阐释，而数据技术可以通过全文本分析捕捉“人眼不易察觉的文本结构规律”（如高频词的分布峰值、魔幻段落的句法复杂度突变），甚至对“魔幻现实主义”“意象网络”等抽象概念进行量化验证。这种“定性+定量”的融合，恰恰是数字人文的魅力所在——它让文学研究从“印象式点评”走向“证据链支撑”，从“个体感悟”迈向“群体可验证”。</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二、研究过程的实践体会：数据如何“说话”？技术与人文的碰撞与磨合</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在深入研读材料中的研究方法与结论时，我尝试以“参与者”的视角还原分析过程，这一过程中既有对技术逻辑的惊叹，也有对人文内核的再思考。</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（一）数据技术的“显微镜”功能：从高频词到叙事密码</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材料中首先呈现的是</w:t>
      </w:r>
      <w:r>
        <w:rPr>
          <w:rStyle w:val="7"/>
          <w:rFonts w:ascii="宋体" w:hAnsi="宋体" w:eastAsia="宋体" w:cs="宋体"/>
          <w:kern w:val="0"/>
          <w:sz w:val="28"/>
          <w:szCs w:val="28"/>
          <w:lang w:val="en-US" w:eastAsia="zh-CN" w:bidi="ar"/>
        </w:rPr>
        <w:t>词频统计与主题聚类分析</w:t>
      </w:r>
      <w:r>
        <w:rPr>
          <w:rFonts w:ascii="宋体" w:hAnsi="宋体" w:eastAsia="宋体" w:cs="宋体"/>
          <w:kern w:val="0"/>
          <w:sz w:val="28"/>
          <w:szCs w:val="28"/>
          <w:lang w:val="en-US" w:eastAsia="zh-CN" w:bidi="ar"/>
        </w:rPr>
        <w:t>的结果。通过提取《蛙》中的高频词（如“姑姑”“孩子”“蛙”“生命”“医院”），并结合聚类算法划分出三大主题集群——“生育/生命集群”（婴儿、怀孕、流产）、“自然/象征集群”（蛙、蝌蚪、河水）、“历史/体制集群”（政策、公社、革命）。这些词汇不仅是文本的表面元素，更是叙事重心的“数据投影”：例如，“姑姑”作为核心人物高频出现，印证了其“历史执行者与受难者”的双重身份；“蛙”与“蝌蚪”“河水”的共现，则揭示了自然意象对生命隐喻的承载功能。</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（二）句法复杂度：魔幻现实主义的“语言证据”</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rFonts w:ascii="宋体" w:hAnsi="宋体" w:eastAsia="宋体" w:cs="宋体"/>
          <w:kern w:val="0"/>
          <w:sz w:val="28"/>
          <w:szCs w:val="28"/>
          <w:lang w:val="en-US" w:eastAsia="zh-CN" w:bidi="ar"/>
        </w:rPr>
      </w:pPr>
      <w:r>
        <w:rPr>
          <w:rFonts w:ascii="宋体" w:hAnsi="宋体" w:eastAsia="宋体" w:cs="宋体"/>
          <w:kern w:val="0"/>
          <w:sz w:val="28"/>
          <w:szCs w:val="28"/>
          <w:lang w:val="en-US" w:eastAsia="zh-CN" w:bidi="ar"/>
        </w:rPr>
        <w:t>关于</w:t>
      </w:r>
      <w:r>
        <w:rPr>
          <w:rStyle w:val="7"/>
          <w:rFonts w:ascii="宋体" w:hAnsi="宋体" w:eastAsia="宋体" w:cs="宋体"/>
          <w:kern w:val="0"/>
          <w:sz w:val="28"/>
          <w:szCs w:val="28"/>
          <w:lang w:val="en-US" w:eastAsia="zh-CN" w:bidi="ar"/>
        </w:rPr>
        <w:t>叙事风格的量化分析</w:t>
      </w:r>
      <w:r>
        <w:rPr>
          <w:rFonts w:ascii="宋体" w:hAnsi="宋体" w:eastAsia="宋体" w:cs="宋体"/>
          <w:kern w:val="0"/>
          <w:sz w:val="28"/>
          <w:szCs w:val="28"/>
          <w:lang w:val="en-US" w:eastAsia="zh-CN" w:bidi="ar"/>
        </w:rPr>
        <w:t>，材料中通过“平均句长”“复杂句占比”“魔幻段落的句法特征”等指标，验证了《蛙》后期语言风格的绵密铺陈。数据显示，《蛙》平均句长23字符（显著高于莫言早期作品《红高粱家族》的15字符），复杂句（含从句）占比达32.8%，且在心理活动与魔幻场景中达到峰值。例如，“蛙声如潮围攻姑姑”“万千蝌蚪汇成河流”等超现实段落，其嵌套从句数量与修饰性成分长度显著提升——这意味着，“魔幻效果”不仅依赖奇特意象（如会复仇的蛙、如潮的水声），更通过复杂缠绕的语言结构本身，在读者心理上制造“窒息感”“堆积感”与“超现实眩晕感”。</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sz w:val="28"/>
          <w:szCs w:val="28"/>
        </w:rPr>
        <w:t>（三）意象网络：从“蛙”到“生命-历史-伦理”的意义黑洞</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最令我震撼的是</w:t>
      </w:r>
      <w:r>
        <w:rPr>
          <w:rStyle w:val="7"/>
          <w:rFonts w:ascii="宋体" w:hAnsi="宋体" w:eastAsia="宋体" w:cs="宋体"/>
          <w:kern w:val="0"/>
          <w:sz w:val="28"/>
          <w:szCs w:val="28"/>
          <w:lang w:val="en-US" w:eastAsia="zh-CN" w:bidi="ar"/>
        </w:rPr>
        <w:t>核心意象的挖掘与知识图谱构建</w:t>
      </w:r>
      <w:r>
        <w:rPr>
          <w:rFonts w:ascii="宋体" w:hAnsi="宋体" w:eastAsia="宋体" w:cs="宋体"/>
          <w:kern w:val="0"/>
          <w:sz w:val="28"/>
          <w:szCs w:val="28"/>
          <w:lang w:val="en-US" w:eastAsia="zh-CN" w:bidi="ar"/>
        </w:rPr>
        <w:t>。材料通过共现网络分析，将“蛙”解构为四重面孔：生物蛙（与池塘、蝌蚪关联）、复仇精灵（与姑姑的噩梦、恐惧关联）、生育象征（与多子、子宫隐喻关联）、历史见证者（其鸣叫贯穿所有时代）。更重要的是，“蛙”是整个意象网络中“中心度最高”的节点——它如同一个“意义的黑洞”，吸附并融合了自然、历史、伦理、创伤等多重主题。</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进一步地，“蝌蚪→婴儿→蛙”的隐喻闭环被数据图谱清晰呈现：蝌蚪（脆弱原始的生命）→婴儿（具象却矛盾的生命，连接喜悦与痛苦）→蛙（异化/幽灵化的生命）。这一链条不仅构成了关于生命起源、毁灭与异化的完整叙事，更通过三大子网络（红色-生命伦理网络、绿色-自然象征网络、蓝色-历史叙事网络）的交织，揭示了文本深层结构：姑姑（历史执行者）与蛙（自然幽灵）作为“跨域连接”的核心中介，使得政策叙事（历史）、生命伦理（道德）、自然象征（神秘）三者直接碰撞，最终生成“魔幻现实主义”的文本效果。</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三、课程学习的反思与启示：数据人文的价值、局限与人文精神的坚守</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（一）数据人文的核心价值：让“不可见”变为“可见”</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数字人文的最大贡献，在于为抽象的文学概念提供了“可测量、可视化”的证据。例如，“魔幻现实主义”不再只是批评家的理论标签，而是通过句法复杂度的峰值、魔幻段落的词汇密度等指标得到量化验证；“意象网络”不再是模糊的“象征关联”，而是通过共现频率、中心性计算清晰呈现其逻辑结构。这种“将主观感受客观化”的能力，极大拓展了文学研究的深度与广度——我们不仅能“解读文本”，更能“验证解读”，甚至发现人脑难以系统察觉的隐性规律（如情感曲线的突兀波动、主题词汇的压力峰值）。</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（二）技术局限与人文反思：数据不能替代“理解”</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然而，数据人文并非万能。材料中坦诚指出了其局限性：分词与统计可能割裂微妙的语境与反讽（例如，一句看似平淡的话可能在特定语境中蕴含深刻讽刺）；算法难以完全理解“蛙”背后的文化集体无意识（如中国传统文化中蛙与生殖崇拜的关联）；分析起点（如选择“蛙”作为核心意象）仍依赖人文洞察，人机需协同而非替代。</w:t>
      </w:r>
    </w:p>
    <w:p>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bookmarkStart w:id="0" w:name="_GoBack"/>
      <w:bookmarkEnd w:id="0"/>
      <w:r>
        <w:rPr>
          <w:sz w:val="28"/>
          <w:szCs w:val="28"/>
        </w:rPr>
        <w:t>（三）对学术研究的启示：严谨性、开放性与跨学科思维</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本次作业也让我对学术研究的本质有了更深刻的理解：无论是传统批评还是数字人文，都需要严谨的方法论（如样本预处理的科学性、指标计算的准确性）、开放的思维（接纳不同分析视角的互补性），以及跨学科的整合能力（文学+统计学+计算机科学的交叉）。更重要的是，研究者需始终警惕“技术至上”的陷阱——数据可以辅助解读，但不能替代对“人”的关怀；量化可以验证假设，但不能消解文学的情感温度与思想深度。</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2" w:firstLineChars="200"/>
        <w:textAlignment w:val="auto"/>
        <w:rPr>
          <w:sz w:val="28"/>
          <w:szCs w:val="28"/>
        </w:rPr>
      </w:pPr>
      <w:r>
        <w:rPr>
          <w:sz w:val="28"/>
          <w:szCs w:val="28"/>
        </w:rPr>
        <w:t>结语：聆听“蛙鸣”的多重声部</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通过本次课程作业，我仿佛跟随数据技术的“显微镜”，聆听了《蛙》这声“蛙鸣”在数据频谱上的复杂波形——它既是历史叙事的沉重低频（政策执行的暴力与创伤），也是生命伦理的痛苦中频（婴儿的诞生与毁灭），更是自然象征的神秘高频（蛙鸣的魔幻与永恒）。数据视角并未消解文学的丰富性，反而让我们更清晰地看到：莫言如何以语言筑就一座承载国族命运与个人罪责的文学纪念碑，而数字人文则为我们提供了一把打开这座纪念碑“结构密码”的钥匙。</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20" w:lineRule="exact"/>
        <w:ind w:firstLine="560" w:firstLineChars="200"/>
        <w:jc w:val="left"/>
        <w:textAlignment w:val="auto"/>
        <w:rPr>
          <w:sz w:val="28"/>
          <w:szCs w:val="28"/>
        </w:rPr>
      </w:pPr>
      <w:r>
        <w:rPr>
          <w:rFonts w:ascii="宋体" w:hAnsi="宋体" w:eastAsia="宋体" w:cs="宋体"/>
          <w:kern w:val="0"/>
          <w:sz w:val="28"/>
          <w:szCs w:val="28"/>
          <w:lang w:val="en-US" w:eastAsia="zh-CN" w:bidi="ar"/>
        </w:rPr>
        <w:t>未来，无论是继续探索数字人文领域，还是回归传统文学研究，我都将带着本次作业的启示：保持对技术的敬畏与对人性的敏感，在定量与定性、工具与思想、数据与人文的碰撞中，寻找更立体、更深刻的学术认知。这或许就是本次课程作业带给我最珍贵的收获——不仅学会了“如何分析”，更懂得了“为何分析”以及“分析的边界在哪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yMDkzMjk4ZjViNzg3MjZjZTQ0NzRhZDkzZTU4NzcifQ=="/>
  </w:docVars>
  <w:rsids>
    <w:rsidRoot w:val="00000000"/>
    <w:rsid w:val="4F703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2026-01-09T12:31:13Z</dcterms:created>
  <dc:creator>Administrator</dc:creator>
  <cp:lastModifiedBy>WPS_1733990433</cp:lastModifiedBy>
  <dcterms:modified xsi:type="dcterms:W3CDTF">2026-01-09T12:37:06Z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7A30FE215D76436DAF6BA626B2F2DA80_12</vt:lpwstr>
  </property>
</Properties>
</file>