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center"/>
      </w:pPr>
      <w:r>
        <w:rPr>
          <w:rFonts w:ascii="微软雅黑" w:hAnsi="微软雅黑" w:eastAsia="微软雅黑"/>
          <w:sz w:val="24"/>
          <w:szCs w:val="24"/>
        </w:rPr>
      </w:r>
      <w:r>
        <w:rPr>
          <w:rFonts w:ascii="微软雅黑" w:hAnsi="微软雅黑" w:eastAsia="微软雅黑"/>
          <w:b w:val="true"/>
          <w:bCs w:val="true"/>
          <w:color w:val="000000"/>
          <w:sz w:val="52"/>
          <w:szCs w:val="52"/>
        </w:rPr>
        <w:t xml:space="preserve">慧微半导体商业计划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面向半导体芯片设计公司，尤其是中小型和初创型设计公司， 慧微半导体（以下简称PWRSemi）, 2010年中创立于深圳的一家半导体IP设计公司，致力于为嵌入式市场提供具有性价比领先优势的微处理器IP核，以降低芯片产品开发的商业风险，共同推动本土电子半导体产业的繁荣。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PWRSemi的主要商业模式为将处理器IP核以公平透明的支付条款授权给半导体芯片设计公司和具有芯片设计部门的系统公司，营收主要包括每个设计开始时的授权使用费和基于最终芯片产品出货量的权利金等。和现有主要处理器IP核供应商（ARM和MIPS）相比，PWRSemi的主要差异化因素在于，建立在卓越运营的结构化优势基础上的，全球领先的产品性价比优势：最高为同类厂商的10倍。我们的产品将帮助解决困扰芯片设计行业，尤其是本土设计行业的一个两难局面：购买现有厂商处理器IP核的高商业风险和自主独立开发的高技术风险。在充分利用贴近本土庞大的消费电子市场、电信设备市场、以及国防和航空等市场，和全球化的互联网营销等的基础上，我们计划同时开拓国内和国际市场，力争三年之内成为嵌入式处理器IP核市场的主流厂商。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我们的处理器产品支持运行Power指令，以方便用户延续使用熟悉的开发环境和工具，充分利用成熟的基础系统软件，并保护现有智力投资。目前Power架构处理器在通信，汽车电子，家庭娱乐，高性能计算和航空航天等市场占据领导地位。为规避潜在的知识产权风险，PWRSemi采用“静室设计方法”完成兼容性设计，并开发出PWR（Processor With Reduced-RISC）技术以适应嵌入式市场灵活性的需求。目前我们已经在FPGA上实现设计验证，并将在2011年的第二季度发布为FPGA市场优化的第一个处理器IP核产品。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目前，PWRSemi正面向半导体行业投资者寻求约三百万人民币的种子融资，投资人将获得和创始团队具有同样权责的20％的公司股权。种子资金将主要用于建立完整团队，开发完善处理器IP核和配套产品，我们预计种子资金将支持公司运营12个月并使公司增加至10名员工，关键成果是获取首个处理器IP核客户。由于轻资产，高利润率的运营特点，我们估计PWRSemi可在两年之内达到正现金流和损益平衡点。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28"/>
          <w:szCs w:val="28"/>
        </w:rPr>
        <w:t/>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w:t>
      </w:r>
    </w:p>
    <w:p>
      <w:pPr>
        <w:snapToGrid w:val="false"/>
        <w:spacing/>
        <w:ind/>
        <w:jc w:val="center"/>
      </w:pPr>
      <w:r>
        <w:rPr>
          <w:rFonts w:ascii="微软雅黑" w:hAnsi="微软雅黑" w:eastAsia="微软雅黑"/>
          <w:sz w:val="24"/>
          <w:szCs w:val="24"/>
        </w:rPr>
      </w:r>
      <w:r>
        <w:rPr>
          <w:rFonts w:ascii="Arial" w:hAnsi="Arial" w:eastAsia="Arial"/>
          <w:b w:val="true"/>
          <w:bCs w:val="true"/>
          <w:color w:val="000000"/>
          <w:sz w:val="40"/>
          <w:szCs w:val="40"/>
        </w:rPr>
        <w:t xml:space="preserve">目  录</w:t>
      </w:r>
    </w:p>
    <w:p>
      <w:pPr>
        <w:snapToGrid w:val="false"/>
        <w:spacing/>
        <w:ind/>
        <w:jc w:val="left"/>
      </w:pPr>
      <w:r>
        <w:rPr>
          <w:rFonts w:ascii="微软雅黑" w:hAnsi="微软雅黑" w:eastAsia="微软雅黑"/>
          <w:sz w:val="24"/>
          <w:szCs w:val="24"/>
        </w:rPr>
      </w:r>
      <w:r>
        <w:rPr>
          <w:rFonts w:ascii="微软雅黑" w:hAnsi="微软雅黑" w:eastAsia="微软雅黑"/>
          <w:color w:val="0000ff"/>
          <w:sz w:val="32"/>
          <w:szCs w:val="32"/>
          <w:u w:val="single"/>
        </w:rPr>
        <w:t>PWRSemi商业计划</w:t>
      </w:r>
      <w:r>
        <w:rPr>
          <w:rFonts w:ascii="仿宋GB2312" w:hAnsi="仿宋GB2312" w:eastAsia="仿宋GB2312"/>
          <w:color w:val="000000"/>
          <w:sz w:val="32"/>
          <w:szCs w:val="32"/>
        </w:rPr>
        <w:t xml:space="preserve">    1</w:t>
      </w:r>
      <w:r>
        <w:rPr>
          <w:rFonts w:ascii="Times New Roman" w:hAnsi="Times New Roman" w:eastAsia="Times New Roman"/>
          <w:color w:val="000000"/>
          <w:sz w:val="32"/>
          <w:szCs w:val="32"/>
        </w:rPr>
        <w:t xml:space="preserve"></w:t>
      </w:r>
    </w:p>
    <w:p>
      <w:pPr>
        <w:snapToGrid w:val="false"/>
        <w:spacing/>
        <w:ind w:leftChars="2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目  录</w:t>
      </w:r>
      <w:r>
        <w:rPr>
          <w:rFonts w:ascii="Times New Roman" w:hAnsi="Times New Roman" w:eastAsia="Times New Roman"/>
          <w:color w:val="000000"/>
          <w:sz w:val="32"/>
          <w:szCs w:val="32"/>
        </w:rPr>
        <w:t xml:space="preserve">    2</w:t>
      </w:r>
    </w:p>
    <w:p>
      <w:pPr>
        <w:snapToGrid w:val="false"/>
        <w:spacing/>
        <w:ind w:leftChars="2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一</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市场需求</w:t>
      </w:r>
      <w:r>
        <w:rPr>
          <w:rFonts w:ascii="Times New Roman" w:hAnsi="Times New Roman" w:eastAsia="Times New Roman"/>
          <w:color w:val="000000"/>
          <w:sz w:val="32"/>
          <w:szCs w:val="32"/>
        </w:rPr>
        <w:t xml:space="preserve">    3</w:t>
      </w:r>
    </w:p>
    <w:p>
      <w:pPr>
        <w:snapToGrid w:val="false"/>
        <w:spacing/>
        <w:ind w:leftChars="2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二</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PWRSemi解决方案</w:t>
      </w:r>
      <w:r>
        <w:rPr>
          <w:rFonts w:ascii="Times New Roman" w:hAnsi="Times New Roman" w:eastAsia="Times New Roman"/>
          <w:color w:val="000000"/>
          <w:sz w:val="32"/>
          <w:szCs w:val="32"/>
        </w:rPr>
        <w:t xml:space="preserve">    3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2.1</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商业模型</w:t>
      </w:r>
      <w:r>
        <w:rPr>
          <w:rFonts w:ascii="Times New Roman" w:hAnsi="Times New Roman" w:eastAsia="Times New Roman"/>
          <w:color w:val="000000"/>
          <w:sz w:val="32"/>
          <w:szCs w:val="32"/>
        </w:rPr>
        <w:t xml:space="preserve">    4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2.2</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技术研发</w:t>
      </w:r>
      <w:r>
        <w:rPr>
          <w:rFonts w:ascii="Times New Roman" w:hAnsi="Times New Roman" w:eastAsia="Times New Roman"/>
          <w:color w:val="000000"/>
          <w:sz w:val="32"/>
          <w:szCs w:val="32"/>
        </w:rPr>
        <w:t xml:space="preserve">    4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2.3</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产品计划</w:t>
      </w:r>
      <w:r>
        <w:rPr>
          <w:rFonts w:ascii="Times New Roman" w:hAnsi="Times New Roman" w:eastAsia="Times New Roman"/>
          <w:color w:val="000000"/>
          <w:sz w:val="32"/>
          <w:szCs w:val="32"/>
        </w:rPr>
        <w:t xml:space="preserve">    5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2.4</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市场策略</w:t>
      </w:r>
      <w:r>
        <w:rPr>
          <w:rFonts w:ascii="Times New Roman" w:hAnsi="Times New Roman" w:eastAsia="Times New Roman"/>
          <w:color w:val="000000"/>
          <w:sz w:val="32"/>
          <w:szCs w:val="32"/>
        </w:rPr>
        <w:t xml:space="preserve">    5</w:t>
      </w:r>
    </w:p>
    <w:p>
      <w:pPr>
        <w:snapToGrid w:val="false"/>
        <w:spacing/>
        <w:ind w:leftChars="2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三</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知识产权策略</w:t>
      </w:r>
      <w:r>
        <w:rPr>
          <w:rFonts w:ascii="Times New Roman" w:hAnsi="Times New Roman" w:eastAsia="Times New Roman"/>
          <w:color w:val="000000"/>
          <w:sz w:val="32"/>
          <w:szCs w:val="32"/>
        </w:rPr>
        <w:t xml:space="preserve">    6</w:t>
      </w:r>
    </w:p>
    <w:p>
      <w:pPr>
        <w:snapToGrid w:val="false"/>
        <w:spacing/>
        <w:ind w:leftChars="2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四</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竞争和价值链分析</w:t>
      </w:r>
      <w:r>
        <w:rPr>
          <w:rFonts w:ascii="Times New Roman" w:hAnsi="Times New Roman" w:eastAsia="Times New Roman"/>
          <w:color w:val="000000"/>
          <w:sz w:val="32"/>
          <w:szCs w:val="32"/>
        </w:rPr>
        <w:t xml:space="preserve">    6</w:t>
      </w:r>
    </w:p>
    <w:p>
      <w:pPr>
        <w:snapToGrid w:val="false"/>
        <w:spacing/>
        <w:ind w:leftChars="2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五</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时间表</w:t>
      </w:r>
      <w:r>
        <w:rPr>
          <w:rFonts w:ascii="Times New Roman" w:hAnsi="Times New Roman" w:eastAsia="Times New Roman"/>
          <w:color w:val="000000"/>
          <w:sz w:val="32"/>
          <w:szCs w:val="32"/>
        </w:rPr>
        <w:t xml:space="preserve">    7</w:t>
      </w:r>
    </w:p>
    <w:p>
      <w:pPr>
        <w:snapToGrid w:val="false"/>
        <w:spacing/>
        <w:ind w:leftChars="2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六</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财务计划</w:t>
      </w:r>
      <w:r>
        <w:rPr>
          <w:rFonts w:ascii="Times New Roman" w:hAnsi="Times New Roman" w:eastAsia="Times New Roman"/>
          <w:color w:val="000000"/>
          <w:sz w:val="32"/>
          <w:szCs w:val="32"/>
        </w:rPr>
        <w:t xml:space="preserve">    8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6.1财务预测</w:t>
      </w:r>
      <w:r>
        <w:rPr>
          <w:rFonts w:ascii="Times New Roman" w:hAnsi="Times New Roman" w:eastAsia="Times New Roman"/>
          <w:color w:val="000000"/>
          <w:sz w:val="32"/>
          <w:szCs w:val="32"/>
        </w:rPr>
        <w:t xml:space="preserve">    8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6.2</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关键收入</w:t>
      </w:r>
      <w:r>
        <w:rPr>
          <w:rFonts w:ascii="Times New Roman" w:hAnsi="Times New Roman" w:eastAsia="Times New Roman"/>
          <w:color w:val="000000"/>
          <w:sz w:val="32"/>
          <w:szCs w:val="32"/>
        </w:rPr>
        <w:t xml:space="preserve">    8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6.3</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关键开销</w:t>
      </w:r>
      <w:r>
        <w:rPr>
          <w:rFonts w:ascii="Times New Roman" w:hAnsi="Times New Roman" w:eastAsia="Times New Roman"/>
          <w:color w:val="000000"/>
          <w:sz w:val="32"/>
          <w:szCs w:val="32"/>
        </w:rPr>
        <w:t xml:space="preserve">    8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6.4</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融资方案</w:t>
      </w:r>
      <w:r>
        <w:rPr>
          <w:rFonts w:ascii="Times New Roman" w:hAnsi="Times New Roman" w:eastAsia="Times New Roman"/>
          <w:color w:val="000000"/>
          <w:sz w:val="32"/>
          <w:szCs w:val="32"/>
        </w:rPr>
        <w:t xml:space="preserve">    9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6.5</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投资者回报</w:t>
      </w:r>
      <w:r>
        <w:rPr>
          <w:rFonts w:ascii="Times New Roman" w:hAnsi="Times New Roman" w:eastAsia="Times New Roman"/>
          <w:color w:val="000000"/>
          <w:sz w:val="32"/>
          <w:szCs w:val="32"/>
        </w:rPr>
        <w:t xml:space="preserve">    9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6.6</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同类型企业比较</w:t>
      </w:r>
      <w:r>
        <w:rPr>
          <w:rFonts w:ascii="Times New Roman" w:hAnsi="Times New Roman" w:eastAsia="Times New Roman"/>
          <w:color w:val="000000"/>
          <w:sz w:val="32"/>
          <w:szCs w:val="32"/>
        </w:rPr>
        <w:t xml:space="preserve">    10</w:t>
      </w:r>
    </w:p>
    <w:p>
      <w:pPr>
        <w:snapToGrid w:val="false"/>
        <w:spacing/>
        <w:ind w:leftChars="2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七</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风险分析</w:t>
      </w:r>
      <w:r>
        <w:rPr>
          <w:rFonts w:ascii="Times New Roman" w:hAnsi="Times New Roman" w:eastAsia="Times New Roman"/>
          <w:color w:val="000000"/>
          <w:sz w:val="32"/>
          <w:szCs w:val="32"/>
        </w:rPr>
        <w:t xml:space="preserve">    10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7.1</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市场风险</w:t>
      </w:r>
      <w:r>
        <w:rPr>
          <w:rFonts w:ascii="Times New Roman" w:hAnsi="Times New Roman" w:eastAsia="Times New Roman"/>
          <w:color w:val="000000"/>
          <w:sz w:val="32"/>
          <w:szCs w:val="32"/>
        </w:rPr>
        <w:t xml:space="preserve">    10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7.2</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团队风险</w:t>
      </w:r>
      <w:r>
        <w:rPr>
          <w:rFonts w:ascii="Times New Roman" w:hAnsi="Times New Roman" w:eastAsia="Times New Roman"/>
          <w:color w:val="000000"/>
          <w:sz w:val="32"/>
          <w:szCs w:val="32"/>
        </w:rPr>
        <w:t xml:space="preserve">    10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7.3</w:t>
      </w:r>
      <w:r>
        <w:rPr>
          <w:rFonts w:ascii="Times New Roman" w:hAnsi="Times New Roman" w:eastAsia="Times New Roman"/>
          <w:color w:val="000000"/>
          <w:sz w:val="32"/>
          <w:szCs w:val="32"/>
        </w:rPr>
        <w:t xml:space="preserve">    </w:t>
      </w:r>
      <w:r>
        <w:rPr>
          <w:rFonts w:ascii="Times New Roman" w:hAnsi="Times New Roman" w:eastAsia="Times New Roman"/>
          <w:color w:val="0000ff"/>
          <w:sz w:val="32"/>
          <w:szCs w:val="32"/>
          <w:u w:val="single"/>
        </w:rPr>
        <w:t>财务风险</w:t>
      </w:r>
      <w:r>
        <w:rPr>
          <w:rFonts w:ascii="Times New Roman" w:hAnsi="Times New Roman" w:eastAsia="Times New Roman"/>
          <w:color w:val="000000"/>
          <w:sz w:val="32"/>
          <w:szCs w:val="32"/>
        </w:rPr>
        <w:t xml:space="preserve">    10</w:t>
      </w:r>
    </w:p>
    <w:p>
      <w:pPr>
        <w:snapToGrid w:val="false"/>
        <w:spacing/>
        <w:ind w:leftChars="6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7.4知识产权风险</w:t>
      </w:r>
      <w:r>
        <w:rPr>
          <w:rFonts w:ascii="Times New Roman" w:hAnsi="Times New Roman" w:eastAsia="Times New Roman"/>
          <w:color w:val="000000"/>
          <w:sz w:val="32"/>
          <w:szCs w:val="32"/>
        </w:rPr>
        <w:t xml:space="preserve">    11</w:t>
      </w:r>
    </w:p>
    <w:p>
      <w:pPr>
        <w:snapToGrid w:val="false"/>
        <w:spacing/>
        <w:ind w:leftChars="2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八 团队</w:t>
      </w:r>
      <w:r>
        <w:rPr>
          <w:rFonts w:ascii="Times New Roman" w:hAnsi="Times New Roman" w:eastAsia="Times New Roman"/>
          <w:color w:val="000000"/>
          <w:sz w:val="32"/>
          <w:szCs w:val="32"/>
        </w:rPr>
        <w:t xml:space="preserve">    11</w:t>
      </w:r>
    </w:p>
    <w:p>
      <w:pPr>
        <w:snapToGrid w:val="false"/>
        <w:spacing/>
        <w:ind w:leftChars="200" w:hangingChars="200"/>
        <w:jc w:val="left"/>
      </w:pPr>
      <w:r>
        <w:rPr>
          <w:rFonts w:ascii="微软雅黑" w:hAnsi="微软雅黑" w:eastAsia="微软雅黑"/>
          <w:sz w:val="24"/>
          <w:szCs w:val="24"/>
        </w:rPr>
      </w:r>
      <w:r>
        <w:rPr>
          <w:rFonts w:ascii="Times New Roman" w:hAnsi="Times New Roman" w:eastAsia="Times New Roman"/>
          <w:color w:val="0000ff"/>
          <w:sz w:val="32"/>
          <w:szCs w:val="32"/>
          <w:u w:val="single"/>
        </w:rPr>
        <w:t>九 联系我们</w:t>
      </w:r>
      <w:r>
        <w:rPr>
          <w:rFonts w:ascii="Times New Roman" w:hAnsi="Times New Roman" w:eastAsia="Times New Roman"/>
          <w:color w:val="000000"/>
          <w:sz w:val="32"/>
          <w:szCs w:val="32"/>
        </w:rPr>
        <w:t xml:space="preserve">    11</w:t>
      </w:r>
    </w:p>
    <w:p>
      <w:pPr>
        <w:snapToGrid w:val="false"/>
        <w:spacing/>
        <w:ind/>
        <w:jc w:val="left"/>
      </w:pPr>
      <w:r>
        <w:rPr>
          <w:rFonts w:ascii="微软雅黑" w:hAnsi="微软雅黑" w:eastAsia="微软雅黑"/>
          <w:sz w:val="24"/>
          <w:szCs w:val="24"/>
        </w:rPr>
      </w:r>
      <w:r>
        <w:rPr>
          <w:rFonts w:ascii="Times New Roman" w:hAnsi="Times New Roman" w:eastAsia="Times New Roman"/>
          <w:color w:val="000000"/>
          <w:sz w:val="32"/>
          <w:szCs w:val="32"/>
        </w:rPr>
        <w:t xml:space="preserve"></w:t>
      </w:r>
    </w:p>
    <w:p>
      <w:pPr>
        <w:snapToGrid w:val="false"/>
        <w:spacing/>
        <w:ind/>
        <w:jc w:val="left"/>
      </w:pPr>
      <w:r>
        <w:rPr>
          <w:rFonts w:ascii="微软雅黑" w:hAnsi="微软雅黑" w:eastAsia="微软雅黑"/>
          <w:sz w:val="24"/>
          <w:szCs w:val="24"/>
        </w:rPr>
      </w:r>
      <w:r>
        <w:rPr>
          <w:rFonts w:ascii="Times New Roman" w:hAnsi="Times New Roman" w:eastAsia="Times New Roman"/>
          <w:color w:val="000000"/>
          <w:sz w:val="28"/>
          <w:szCs w:val="28"/>
        </w:rPr>
        <w:t xml:space="preserve"></w:t>
      </w:r>
    </w:p>
    <w:p>
      <w:pPr>
        <w:snapToGrid w:val="false"/>
        <w:spacing/>
        <w:ind/>
        <w:jc w:val="left"/>
      </w:pPr>
      <w:r>
        <w:rPr>
          <w:rFonts w:ascii="微软雅黑" w:hAnsi="微软雅黑" w:eastAsia="微软雅黑"/>
          <w:sz w:val="24"/>
          <w:szCs w:val="24"/>
        </w:rPr>
      </w:r>
      <w:r>
        <w:rPr>
          <w:rFonts w:ascii="Arial" w:hAnsi="Arial" w:eastAsia="Arial"/>
          <w:b w:val="true"/>
          <w:bCs w:val="true"/>
          <w:color w:val="000000"/>
          <w:sz w:val="40"/>
          <w:szCs w:val="40"/>
        </w:rPr>
        <w:t xml:space="preserve">一    市场需求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随着半导体工艺的发展，单芯片集成度越来越高，芯片设计已经进入片上系统阶段。为应对设计复杂度、开发成本和上市时间的挑战，聚焦核心差异化功能、结合大规模采用商用IP的芯片产品开发方式已经成为业界的普遍选择。而微处理器核由于其通用性，已成为电子设备的核心－微芯片的必然组成部分，从超级计算机等大型电子设备，到机顶盒，手机，多媒体播放器等中小设备，直至IC卡和电子玩具等微型电子设备的微芯片中，几乎都嵌入有一颗或多颗微处理器核。根据分析公司Linley Group报告，2008年全球的微处理器内核出货量达53亿颗，预计至2012年，年出货量将在此基础上翻一番－超过100亿颗。随着互联网逐渐向各种设备渗透，智能化家电和物联网终端等对微处理器核的需求将进一步迎来爆发性增长。如下图总结所示，随着“计算机”由大型机，小型机，PC，移动终端，逐步过渡到物联网（Machine to Machine）器件，单个“计算机”价格呈指数下降，而出货量则呈指数增长，最终可达年度万亿颗数量级。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4914900" cy="25908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914900" cy="2590800"/>
                    </a:xfrm>
                    <a:prstGeom prst="rect">
                      <a:avLst/>
                    </a:prstGeom>
                  </pic:spPr>
                </pic:pic>
              </a:graphicData>
            </a:graphic>
          </wp:inline>
        </w:drawing>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回到本土半导体芯片设计行业，根据工业和信息化部统计报告，中国大陆目前共有约500家芯片设计公司， 2009年中国大陆IC设计业销售收入286.74亿元，其中IP核市场规模估计约为2.98亿元，仅占全球IP核市场16.58亿美元的2.64%。一方面，由于贴近电子系统设计和整机制造厂商，同时又面对巨大的内需市场，本土芯片设计行业面临广阔的发展空间。另一方面本土芯片设计公司受历史市场和设计能力等各方面因素影响，在发展路途中又面临着独特挑战。根据我们对本土芯片设计公司产品开发成本结构（包括各种IP，EDA工具，集成验证和物理设计，软件，生产和测试，人力资源）的简要分析，中高端嵌入式微处理器IP核已经成为大部分设计公司－尤其是初创公司和中小设计公司，开拓市场空间、提升竞争水平的主要障碍之一。如若采用目前市场的处理器IP授权，则其昂贵价格（平均超过百万美元）和封闭的支付条款将提高开发成本和商业风险负担－根据估计，芯片设计项目的最终商业成功率仅约50％；另一方面，如选择自主开发处理器内核，一是缺乏处理器设计专业能力，技术风险上升，二是自主开发所需资源投入也大于商业授权，更重要的是产品上市时间延长可能导致错失市场机会窗。这一局面致使本土大部分设计公司集中在低端4/8/16位数字芯片市场，过度竞争，由于进入门槛低，市场过度竞争，产品平均销售价格和利润率不但落后于全球同行业水平，且面临不断下滑的局面。而选择进入中高端市场，则面临购买授权的高商业风险或自主开发的高技术风险的两难局面。从全球范围来看，处理器IP高昂的授权价格也是形成芯片设计初创公司高启动门槛的因素之一。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另外，在如高性能计算、防卫与航空行业等特定市场，出于技术需要，以及突破海外技术的出口限制、用途限制，满足政府特种行业关键设备国产化要求等需要，本土自主开发的微处理器IP核也存在广阔的市场空间。而Power架构的处理器产品更是在上述市场占据领导地位。</w:t>
      </w:r>
    </w:p>
    <w:p>
      <w:pPr>
        <w:snapToGrid w:val="false"/>
        <w:spacing/>
        <w:ind/>
        <w:jc w:val="left"/>
      </w:pPr>
      <w:r>
        <w:rPr>
          <w:rFonts w:ascii="微软雅黑" w:hAnsi="微软雅黑" w:eastAsia="微软雅黑"/>
          <w:sz w:val="24"/>
          <w:szCs w:val="24"/>
        </w:rPr>
      </w:r>
      <w:r>
        <w:rPr>
          <w:rFonts w:ascii="Arial" w:hAnsi="Arial" w:eastAsia="Arial"/>
          <w:b w:val="true"/>
          <w:bCs w:val="true"/>
          <w:color w:val="000000"/>
          <w:sz w:val="40"/>
          <w:szCs w:val="40"/>
        </w:rPr>
        <w:t xml:space="preserve">二    PWRSemi解决方案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PWRSemi定位于开发兼容Power的16/32/64位嵌入式微处理器IP核，在设计产业链不断走向垂直分化的背景下，充分利用中国本土运营，创新的低成本营销模式等有利条件，以合理的定价方式推向全球市场，改变目前微处理器IP核供应商和设计公司之间议价能力，风险分担等方面不均衡的市场结构。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2.1    商业模型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PWRSemi并不自己设计和制造最终半导体芯片，我们通过向Fabless设计公司（例如国民技术）和具有芯片设计部门的系统公司（例如华为技术和ZTE中兴），授权使用处理器IP核的方式获取回报。主要收入包括每个设计开始时的授权使用费和基于我们IP核的每个最终产品的权利金等，其他收入包括配套产品销售和设计服务收入等。与同类企业相比，我们的产品市场策略将聚焦在相对对价格敏感的初创芯片设计公司和中小企业，通过降低处理器IP授权初期费用，以分担客户产品开发的商业风险，降低半导体领域创业和中高端市场进入门槛。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67325" cy="274320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67325" cy="2743200"/>
                    </a:xfrm>
                    <a:prstGeom prst="rect">
                      <a:avLst/>
                    </a:prstGeom>
                  </pic:spPr>
                </pic:pic>
              </a:graphicData>
            </a:graphic>
          </wp:inline>
        </w:drawing>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2.2    技术研发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作为一家市场驱动的技术型初创公司，PWRSemi的成功依赖于核心技术的研发与产品的持续演进能力，其中指令集兼容，微架构的设计两项技术对微处理器产品开发至关重要，也是我们核心竞争力所在。PWRSemi创始团队在上述领域超过20000个小时的研发经验，以及对过去15年市场上所有处理器IP核产品的详细技术分析，为保持和进一步发展这一核心竞争力打下了良好基础。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在第一代产品设计中，我们重点解决Power架构兼容问题：以评估静态翻译，动态翻译，微码，Trap模拟和直接硬件译码等指令集兼容实现技术，并将通过软件仿真、实际应用环境验证等方法确保100%兼容。由于兼容设计跟知识产权策略紧密相关，后续专门章节将结合法律方面因素综合考虑这一技术问题。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2.3    产品计划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根据产品性能指标，我们将处理器IP核划分为入门级，中低端和高端三个系列产品，主要衡量指标包括DMIPS/MHz和mW/MHz等。三个系列兼容同一指令集，主要区别来自微架构设计：流水线、超标量、分支预测、多线程多核支持、互连，以及诸如MAC、FPU、MMU/TLB、Cache等可选部件的配置等。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根据目标实现工艺的差别，我们将产品划分为FPGA核和ASIC核两部分（由于实现方法的相似性，我们将ASIC、ASSP和SoC通称为ASIC）。根据最终向客户提供的数据格式，处理器IP又分为软核、固核和硬核等多重产品形态。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由于处理器在芯片产品和最终系统中的重要作用，除处理器IP核之外，处理器供应商必须同时提供配套产品：包括配合IP核实现和集成的EDA参考设计流程，实现脚本和各层次模型，以及软件集成开发环境、开发工具链、底层软件包和硬件参考平台等。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2.4    市场策略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28"/>
          <w:szCs w:val="28"/>
        </w:rPr>
        <w:t/>
      </w:r>
      <w:r>
        <w:rPr>
          <w:rFonts w:ascii="微软雅黑" w:hAnsi="微软雅黑" w:eastAsia="微软雅黑"/>
          <w:color w:val="000000"/>
          <w:sz w:val="32"/>
          <w:szCs w:val="32"/>
        </w:rPr>
        <w:t xml:space="preserve">在市场选择方面，我们将首先选择进入FPGA市场。一是，从产业角度来看，受ASIC开发成本上升和FPGA器件性能不断提高影响，FPGA应用范围不断扩大，FPGA处理器市场规模处于增长期，如下图所示，FPGA设计项目中采用处理器内核的比例从2007年的约30％，将上升至超过50％，每年将有超过4万个设计项目采用处理器IP核。二是由于FPGA产品开发成本和市场进入成本相对远低于ASIC产品，产品的商业交易周期也远低于ASIC产品。三是目前主流处理器IP厂商公司结构并不适应FPGA市场特点－授权价格低，客户数量众多，分布广泛。在FPGA市场推广方面，我们计划选择直销，或和EDA厂商、FPGA器件供应商、器件分销商等合作的方式到达全球客户。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针对ASIC市场，由于ASIC处理器IP核产品的复杂性－需要产业链上下游的紧密配合、和高NRE成本带来的高风险特点，我们计划采用和芯片制造Fab，EDA厂商，专业设计服务公司和其他IP供应商合作的方式推广产品，最大限度降低客户集成风险和成本。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随着产业链进一步垂直分化，业界出现了如CAST和IPExtreme等专业半导体IP核营销公司。通过合作或外包方式，PWRSemi可以集中有限资源于核心差异化能力－产品开发－的发展，降低自身运营风险。另一个引起我们重视的市场开拓方式就是充分利用互联网，例如Design and Reuse和ChipEstimate等半导体IP网络交易平台，和社会化网络等工程师社区。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由于目标客户群体相对数量较小且集中，PWRSemi也将采用其他高效方式推广产品：例如特别针对本土市场，整个设计产业链和主要设计公司都集中于各大IC设计基地，我们计划通过和设计基地和行业协会合作的方式推广产品。</w:t>
      </w:r>
    </w:p>
    <w:p>
      <w:pPr>
        <w:snapToGrid w:val="false"/>
        <w:spacing/>
        <w:ind/>
        <w:jc w:val="left"/>
      </w:pPr>
      <w:r>
        <w:rPr>
          <w:rFonts w:ascii="微软雅黑" w:hAnsi="微软雅黑" w:eastAsia="微软雅黑"/>
          <w:sz w:val="24"/>
          <w:szCs w:val="24"/>
        </w:rPr>
      </w:r>
      <w:r>
        <w:rPr>
          <w:rFonts w:ascii="Arial" w:hAnsi="Arial" w:eastAsia="Arial"/>
          <w:b w:val="true"/>
          <w:bCs w:val="true"/>
          <w:color w:val="000000"/>
          <w:sz w:val="40"/>
          <w:szCs w:val="40"/>
        </w:rPr>
        <w:t xml:space="preserve">三    知识产权策略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选择开发兼容性处理器产品，竞争对手可能的知识产权纠纷是我们从第一天起必须面对并重视的问题，这也是潜在客户/合作伙伴对我们发展前景的主要担心之一。由于指令集整体并不能申请专利形成法律保护，传统厂商的策略一般是对某些特定指令的实现专利化，再通过专利文件中覆盖广泛的权利要求来提高竞争对手法律风险。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根据对过去近二十年同类型产品的技术分析和法律案例初步分析，包括Intel与AMD、C&amp;T和Cyrix等一系列关于x86兼容处理器的专利和版权诉讼；MIPS与Lexra的’976和’703专利诉讼和版权诉讼；ARM与PicoTurbo之间有关’563、’646和’461的专利诉讼；Transmeta与Intel之间有关’687等11篇专利的诉讼等，我们认为完全可以通过一系列技术或商业方法解决这一问题：例如开发规避技术，取得专利交叉授权许可和建立防御性专利池等。例如IBM公司就曾成功推出和TI的C54x数字信号处理器完全兼容的系列产品。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另外，作为一家IP授权公司，除技术手段之外，我们深知通过专利、版权、商标、合同、商业和技术机密等法律形式保护自身知识产权对于取得商业成功至关重要，我们计划选取合适的法律顾问，紧密协作以建立完善的IP保护体系。</w:t>
      </w:r>
    </w:p>
    <w:p>
      <w:pPr>
        <w:snapToGrid w:val="false"/>
        <w:spacing/>
        <w:ind/>
        <w:jc w:val="left"/>
      </w:pPr>
      <w:r>
        <w:rPr>
          <w:rFonts w:ascii="微软雅黑" w:hAnsi="微软雅黑" w:eastAsia="微软雅黑"/>
          <w:sz w:val="24"/>
          <w:szCs w:val="24"/>
        </w:rPr>
      </w:r>
      <w:r>
        <w:rPr>
          <w:rFonts w:ascii="Arial" w:hAnsi="Arial" w:eastAsia="Arial"/>
          <w:b w:val="true"/>
          <w:bCs w:val="true"/>
          <w:color w:val="000000"/>
          <w:sz w:val="40"/>
          <w:szCs w:val="40"/>
        </w:rPr>
        <w:t xml:space="preserve">四    竞争和价值链分析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根据商业模型和营收规模等特点，我们将竞争对手划分为以下几类：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一是聚焦于IP授权的主流处理器IP供应商，包括英国ARM和美国MIPS公司。ARM的主要产品有ARM7、ARM9和ARM11/ARM11MP，2004年底发布v7指令集之后ARM启用Cortex品牌：M系列面对微控制器市场，A系列面对中高端应用，R系列面对中低端应用。MIPS的主要产品有4K、5K、20K、24K、34K、74K、1004K和M4K/M14K，其中仅5K为64位内核，4K为入门级产品，24K采用超标量设计，34K增加多线程支持，74K为超标量超流水设计，1004K为多核多线程，1074k为多核超标量超流水设计，M4K/M14K面对微控制器市场。目前，这两家厂商占据微处理器IP核大部分市场份额。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二是采用混合商业模式的主流处理器IP供应商，包括美国IBM公司和Freescale公司。这类厂商主要半导体业务或是生产，或是销售ASIC产品和系统产品，处理器IP授权仅作为补充业务，而且本身主要业务与IP客户或上下游伙伴存在不同程度的竞争关系。IBM的嵌入式产品有405、403/401、440、460和476等，Freescale的嵌入式内核有e200、e300、e500、e600和e5500，其中仅e200系列可供外部客户授权，其余部分内核可供客户定制产品使用。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三是x86处理器供应商，包括Intel，AMD和Via。虽然目前市场并没有可授权x86处理器核(Intel已经暂停与TSMC合作的Atom授权业务)，但x86架构厂商和其产品对嵌入式市场具有重大影响，我们将持续关注x86厂商的发展动态。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四是非主流处理器IP供应商，包括欧洲的Gaisler（现Aeroflex）、Beyond Semi、Cambridge Consultants和Cortus，台湾地区的Andes，本土的苏州国芯等。这一部分厂商主要受产品技术特点限制－指令集没有得到广泛应用，缺乏生态系统的有力支持，在嵌入式处理器市场占据边缘地位。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五类是其他处理器IP核厂商，包括Tensilica、ARC（现Synopsys）、SiliconHive（现Intel） 和Sun（现Oracle）等。其中Tensilica和ARC提供可变指令集处理器，SiliconHive开发提供应用优化的指令集处理器，其特性更加接近于数字信号处理器（DSP），在最终系统产品中可作为通用嵌入式处理器的有效补充。其中Sun仅是开源处理器设计代码，并不参与IP授权业务。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六是混和嵌入式处理器厂商，一方面他们自有私有架构处理器产品，另一方面也有采用ARM/MIPS/Power授权的产品。这类包括ST、NEC、Infineon，Renesas、NXP等ASIC厂商和主要FPGA厂商Xilinx和Altera等等。ST有ST20/40处理器，NEC有v8xx系列处理器，Infineon有TriCore系列处理器，Renesas有SH处理器等。Xilinx有PicoBlaze/MicroBlaze，Altera有Nios处理器等。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其中前三类厂商采用的ARM、MIPS、Power和x86架构是目前嵌入式处理器市场的主流架构，例如Google的Android系统目前均包含上述四种架构的支持。其中前两类厂商是PWRSemi面对的主要竞争所在。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除此之外，价值链的分析还必须包括能对处理器IP核产品的成功产生重大影响的上下游产品和服务，他们主要有以下几类：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物理IP：主要有ARM，Virage Logic（现Synopsys），和VeriSilicon等。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片上互连IP：主要标准和产品有ARM的AMBA，IBM的CoreConnect，OCP-IP的OCP，OpenCore的WishBone，Sonics和Arteris的互联网络等。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EDA工具：主要有Synopsys，Cadence，Mentor Graphics和Magma等。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制造Fabs：主要有CSMC，HNNEC，SMIC，TSMC，UMC和GlobalFoundries等。我们将FPGA器件供应商Xilinx和Altera等也划入此类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设计服务厂商：如Alchip，eSilicon，Open Silicon和VeriSilicon等。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软件开发工具和操作系统厂商：主要有Wind River（现Intel），Green Hills， Mentor Graphics, QNX(现RIM), Lauterbach, 和CodeSourcery（现Mentor Graphics）等。除商业公司之外，开源社区在这方面也可提供成熟的整套方案。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有关产品特性比较和公司级的竞争与价值链详细分析，以及我们如何应对市场领导者改变定价策略，本土出现类似IP供应商和开源处理器IP核供应商等各方面挑战的策略，请与我们进一步沟通。</w:t>
      </w:r>
    </w:p>
    <w:p>
      <w:pPr>
        <w:snapToGrid w:val="false"/>
        <w:spacing/>
        <w:ind/>
        <w:jc w:val="left"/>
      </w:pPr>
      <w:r>
        <w:rPr>
          <w:rFonts w:ascii="微软雅黑" w:hAnsi="微软雅黑" w:eastAsia="微软雅黑"/>
          <w:sz w:val="24"/>
          <w:szCs w:val="24"/>
        </w:rPr>
      </w:r>
      <w:r>
        <w:rPr>
          <w:rFonts w:ascii="Arial" w:hAnsi="Arial" w:eastAsia="Arial"/>
          <w:b w:val="true"/>
          <w:bCs w:val="true"/>
          <w:color w:val="000000"/>
          <w:sz w:val="40"/>
          <w:szCs w:val="40"/>
        </w:rPr>
        <w:t xml:space="preserve">五    时间表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目前第一个处理器设计阶段工作全部完成，正在进行功能验证和FPGA的全系统调试。紧接下一步工作是FPGA处理器IP核的产品化：推出参考系统和评估板，面向重点潜在客户推广，获取市场反馈以进一步明确产品定位，调整设计并开展相关产品化工作，并获取首个客户。近期的主要里程碑如下：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里程碑一：进行系统导入和验证：在基于FPGA平台的SoC参考设计上运行完整BSP/RTOS和基本应用等软件。预计在2011年Q2结束时达到。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里程碑二：向早期客户试推出FPGA处理器IP核产品，和早期客户紧密合作解决系统集成的各方面问题。在2011年Q3结束时，签订首个FPGA核授权合同并完成交付。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里程碑三：开发完成ASIC市场入门级处理器IP核，通过.25/.18/.13工艺的测试芯片验证各项设计目标。并签订首个ASIC核授权合同。估计在2011年Q4结束时达成。</w:t>
      </w:r>
    </w:p>
    <w:p>
      <w:pPr>
        <w:snapToGrid w:val="false"/>
        <w:spacing/>
        <w:ind/>
        <w:jc w:val="left"/>
      </w:pPr>
      <w:r>
        <w:rPr>
          <w:rFonts w:ascii="微软雅黑" w:hAnsi="微软雅黑" w:eastAsia="微软雅黑"/>
          <w:sz w:val="24"/>
          <w:szCs w:val="24"/>
        </w:rPr>
      </w:r>
      <w:r>
        <w:rPr>
          <w:rFonts w:ascii="Arial" w:hAnsi="Arial" w:eastAsia="Arial"/>
          <w:b w:val="true"/>
          <w:bCs w:val="true"/>
          <w:color w:val="000000"/>
          <w:sz w:val="40"/>
          <w:szCs w:val="40"/>
        </w:rPr>
        <w:t xml:space="preserve">六    财务计划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6.1财务预测</w:t>
      </w:r>
    </w:p>
    <w:tbl>
      <w:tblPr>
        <w:tblStyle w:val="a7"/>
        <w:tblW w:w="0" w:type="auto"/>
        <w:tblInd w:w="-987"/>
        <w:tblLook w:firstRow="1" w:lastRow="0" w:firstColumn="1" w:lastColumn="0" w:noHBand="0" w:noVBand="1" w:val="04A0"/>
      </w:tblPr>
      <w:tblGrid>
        <w:gridCol w:w="1755"/>
        <w:gridCol w:w="1755"/>
        <w:gridCol w:w="1755"/>
        <w:gridCol w:w="1755"/>
        <w:gridCol w:w="1755"/>
        <w:gridCol w:w="1755"/>
      </w:tblGrid>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2010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2011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2012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2013</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2014</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营收（M）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￥1.8M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￥24M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￥70M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￥150M</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R&amp;D开销[1]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￥0.15M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￥0.65M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￥6M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￥10M</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S&amp;M开销[1]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￥0.30M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￥4M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￥12M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￥22M</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G&amp;A开销[1]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￥0.15M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￥5M</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员工数量</w:t>
            </w: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10人</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25人</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38人</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45人</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运营总开销</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￥0.15M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￥1.6M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￥13M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￥31M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￥50M</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税前利润</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￥11M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￥39M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￥100M</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运营利润率</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46%</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56%</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67%</w:t>
            </w:r>
          </w:p>
        </w:tc>
      </w:tr>
    </w:tbl>
    <w:p>
      <w:pPr>
        <w:snapToGrid w:val="false"/>
        <w:spacing/>
        <w:ind/>
        <w:jc w:val="left"/>
      </w:pPr>
      <w:r>
        <w:rPr>
          <w:rFonts w:ascii="微软雅黑" w:hAnsi="微软雅黑" w:eastAsia="微软雅黑"/>
          <w:sz w:val="24"/>
          <w:szCs w:val="24"/>
        </w:rPr>
      </w:r>
      <w:r>
        <w:rPr>
          <w:rFonts w:ascii="微软雅黑" w:hAnsi="微软雅黑" w:eastAsia="微软雅黑"/>
          <w:sz w:val="24"/>
          <w:szCs w:val="24"/>
        </w:rPr>
      </w:r>
      <w:r>
        <w:rPr>
          <w:rFonts w:ascii="微软雅黑" w:hAnsi="微软雅黑" w:eastAsia="微软雅黑"/>
          <w:color w:val="000000"/>
          <w:sz w:val="32"/>
          <w:szCs w:val="32"/>
        </w:rPr>
        <w:t xml:space="preserve">注1：条目中不包括人力资源开销，由员工数量乘以平均薪酬得出。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6.2    关键收入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在前三年主要来自处理器IP核授权和相关的设计服务，后续权利金依赖于客户产品的成功－预计权利金部分在第五年（2014）才开始对收入产生较大影响。所以初期收入取决于授权平均销售价格(ASP)，每个授权的销售成本，和客户获取速度。预计2011年ASP为60万元，随着产品线向中高端拓展，后续三年逐渐提升为100万元，150万元和200万元。（按照10个FPGA授权合并为一个ASIC授权计算）。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6.3    关键开销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人力资源,PWRSemi将人视为公司最宝贵的资产，公司的成功也依赖于关键工程师和市场人员的个人能力和表现，预计第二年（2011）人均薪酬约15万元，后续每年人均薪酬逐年递增5万元。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产品开发,包括 EDA工具和设备的租赁，物理设计，测试芯片的制造封装和测试，验证演示系统开发等。其中占主要的是测试芯片制造，例如SMIC 0.13um工艺MPW费用接近30万人民币，90nm工艺MPW费用约为50万人民币。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市场开拓,主要包括专业媒体广告，组织或参加专业会议等市场活动费用。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法务开销，这一部分在现阶段不确定因素很大，暂按照2011年5万人民币，后续逐年翻番列入财务计划。具体可参考运营计划。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6.4    融资方案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我们计划面向有Fab/EDA等背景的战略投资者、在半导体业界具有广泛影响力的战略投资者和重要潜在客户进行私募融资。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A轮融资：在达到里程碑一－完成FPGA处理器核开发，验证指令集兼容之后，2011年第二季度前引入300万人民币种子资金。这部分资金主要用于开发完善处理器IP核产品、建设团队、和进行市场推广。关键目标是建立完善的销售渠道，并获取首个处理器IP核授权客户。预计种子融资将支持我们运营12个月至2012年6月，并使团队发展至10名员工：8名工程师，1名市场人员和1名运营管理人员。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B轮融资：在确定首个处理器IP核授权合同后，2012年第一季度计划完成B轮融资，预期资金需求约为1800万人民币。资金将用于完善产品线和建设生态系统，进行大规模市场推广和完善知识产权体系建设等。关键目标是开发完成中高端处理器IP核，获取30个IP核授权合同，收购完成关键防御性专利。预计B轮融资将支持我们继续运营12个月至2013年3月，并使团队发展至25名员工：20名工程师，3名市场人员和2名运营管理人员。预计B轮融资将是我们的最后一轮私募融资，资金将支持我们运营至损益平衡点，并可保持健康的现金流。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6.5    投资者回报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在退出通道方面：一是PWRSemi可在短期内达到损益平衡点，并具备强劲的盈利能力，可为股权投资者长期持有带来合理的回报。二是PWRSemi的产品和技术是上市公司，同行和上下游企业的重点并购目标。三是PWRSemi在快速发展的情况下可在本土或海外资本市场进行公开募集。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在估算未来PWRSemi投资者回报时，假设PWRSemi在2014年末以20％的股权比例进行IPO。根据本土半导体行业在资本市场上的表现，我们假定PWRSemi估值为运营利润乘以10倍系数，退出时估值约为￥1B元，股权结构如下所示</w:t>
      </w:r>
    </w:p>
    <w:tbl>
      <w:tblPr>
        <w:tblStyle w:val="a7"/>
        <w:tblW w:w="0" w:type="auto"/>
        <w:tblInd w:w="-987"/>
        <w:tblLook w:firstRow="1" w:lastRow="0" w:firstColumn="1" w:lastColumn="0" w:noHBand="0" w:noVBand="1" w:val="04A0"/>
      </w:tblPr>
      <w:tblGrid>
        <w:gridCol w:w="1755"/>
        <w:gridCol w:w="1755"/>
        <w:gridCol w:w="1755"/>
        <w:gridCol w:w="1755"/>
        <w:gridCol w:w="1755"/>
        <w:gridCol w:w="1755"/>
        <w:gridCol w:w="1755"/>
      </w:tblGrid>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时间</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持有者</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预设股权数量</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价格</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融资额</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估值</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百分比</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2Q10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创始团队</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8,000,000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40%</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2Q11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A轮投资</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2,000,000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￥1.50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￥15M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10%</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2Q11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员工期权</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2,000,000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10%</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1Q12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B轮投资</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3,000,000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￥6.00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￥18M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￥90M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15%</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1Q15</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IPO</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5,000,000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￥50.00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￥250M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￥1B</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25%</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总计</w:t>
            </w: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20,000,000</w:t>
            </w: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￥271M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￥1B</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100%</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A轮投资者投资￥3M，4年周期，退出估值￥100M，年复合回报率约为140％</w:t>
            </w: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B轮投资者投资￥18M，3年周期，退出估值￥150M，年复合回报率约为103％</w:t>
            </w: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tc>
        <w:tc>
          <w:tcPr>
            <w:tcW w:w="1755" w:type="dxa"/>
            <w:tcBorders>
              <w:top w:val="single" w:color="000000" w:sz="8" w:space="0"/>
              <w:left w:val="single" w:color="000000" w:sz="8" w:space="0"/>
              <w:bottom w:val="single" w:color="000000" w:sz="8" w:space="0"/>
              <w:right w:val="single" w:color="000000" w:sz="8" w:space="0"/>
            </w:tcBorders>
            <w:vAlign w:val="top"/>
          </w:tcPr>
          <w:p/>
        </w:tc>
      </w:tr>
    </w:tbl>
    <w:p>
      <w:pPr>
        <w:snapToGrid w:val="false"/>
        <w:spacing/>
        <w:ind/>
        <w:jc w:val="left"/>
      </w:pPr>
      <w:r>
        <w:rPr>
          <w:rFonts w:ascii="微软雅黑" w:hAnsi="微软雅黑" w:eastAsia="微软雅黑"/>
          <w:sz w:val="24"/>
          <w:szCs w:val="24"/>
        </w:rPr>
      </w: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6.6    同类型企业比较</w:t>
      </w:r>
    </w:p>
    <w:tbl>
      <w:tblPr>
        <w:tblStyle w:val="a7"/>
        <w:tblW w:w="0" w:type="auto"/>
        <w:tblInd w:w="-987"/>
        <w:tblLook w:firstRow="1" w:lastRow="0" w:firstColumn="1" w:lastColumn="0" w:noHBand="0" w:noVBand="1" w:val="04A0"/>
      </w:tblPr>
      <w:tblGrid>
        <w:gridCol w:w="1755"/>
        <w:gridCol w:w="1755"/>
        <w:gridCol w:w="1755"/>
        <w:gridCol w:w="1755"/>
        <w:gridCol w:w="1755"/>
      </w:tblGrid>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ARM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2009</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2008</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2007</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2006</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营收</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￡305M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￡299M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￡259M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￡263M</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R&amp;D开销</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￡112M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￡88M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￡84M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S&amp;M开销</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￡62M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￡57M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￡55M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G&amp;A开销</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￡60M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￡61M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￡52M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毛利润率</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91.6%</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89.0%</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89.2%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88.3%</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运营利润率</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31.2%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32.7%</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31.7%</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31.1%</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净利润率</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23.2%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24.4%</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25.2%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26.7%</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处理器</w:t>
            </w:r>
          </w:p>
          <w:p>
            <w:pPr>
              <w:snapToGrid w:val="false"/>
              <w:jc w:val="left"/>
            </w:pPr>
            <w:r>
              <w:rPr>
                <w:rFonts w:ascii="微软雅黑" w:hAnsi="微软雅黑" w:eastAsia="微软雅黑"/>
                <w:sz w:val="32"/>
                <w:szCs w:val="32"/>
              </w:rPr>
              <w:t>授权收入</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$128M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$145M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$163.5M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$138M</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处理器</w:t>
            </w:r>
          </w:p>
          <w:p>
            <w:pPr>
              <w:snapToGrid w:val="false"/>
              <w:jc w:val="left"/>
            </w:pPr>
            <w:r>
              <w:rPr>
                <w:rFonts w:ascii="微软雅黑" w:hAnsi="微软雅黑" w:eastAsia="微软雅黑"/>
                <w:sz w:val="32"/>
                <w:szCs w:val="32"/>
              </w:rPr>
              <w:t>授权数量</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87个</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61个</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62个</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65个</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平均每个</w:t>
            </w:r>
          </w:p>
          <w:p>
            <w:pPr>
              <w:snapToGrid w:val="false"/>
              <w:jc w:val="left"/>
            </w:pPr>
            <w:r>
              <w:rPr>
                <w:rFonts w:ascii="微软雅黑" w:hAnsi="微软雅黑" w:eastAsia="微软雅黑"/>
                <w:sz w:val="32"/>
                <w:szCs w:val="32"/>
              </w:rPr>
              <w:t>授权收入</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$1.47M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$2.38M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$2.64M</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32"/>
                <w:szCs w:val="32"/>
              </w:rPr>
              <w:t>$2.12M</w:t>
            </w:r>
          </w:p>
        </w:tc>
      </w:tr>
    </w:tbl>
    <w:p>
      <w:pPr>
        <w:snapToGrid w:val="false"/>
        <w:spacing/>
        <w:ind/>
        <w:jc w:val="left"/>
      </w:pPr>
      <w:r>
        <w:rPr>
          <w:rFonts w:ascii="微软雅黑" w:hAnsi="微软雅黑" w:eastAsia="微软雅黑"/>
          <w:sz w:val="24"/>
          <w:szCs w:val="24"/>
        </w:rPr>
      </w:r>
      <w:r>
        <w:rPr>
          <w:rFonts w:ascii="微软雅黑" w:hAnsi="微软雅黑" w:eastAsia="微软雅黑"/>
          <w:sz w:val="24"/>
          <w:szCs w:val="24"/>
        </w:rPr>
      </w:r>
      <w:r>
        <w:rPr>
          <w:rFonts w:ascii="微软雅黑" w:hAnsi="微软雅黑" w:eastAsia="微软雅黑"/>
          <w:color w:val="000000"/>
          <w:sz w:val="32"/>
          <w:szCs w:val="32"/>
        </w:rPr>
        <w:t xml:space="preserve">来源：ARM年报。</w:t>
      </w:r>
    </w:p>
    <w:p>
      <w:pPr>
        <w:snapToGrid w:val="false"/>
        <w:spacing/>
        <w:ind/>
        <w:jc w:val="left"/>
      </w:pPr>
      <w:r>
        <w:rPr>
          <w:rFonts w:ascii="微软雅黑" w:hAnsi="微软雅黑" w:eastAsia="微软雅黑"/>
          <w:sz w:val="24"/>
          <w:szCs w:val="24"/>
        </w:rPr>
      </w:r>
      <w:r>
        <w:rPr>
          <w:rFonts w:ascii="Arial" w:hAnsi="Arial" w:eastAsia="Arial"/>
          <w:b w:val="true"/>
          <w:bCs w:val="true"/>
          <w:color w:val="000000"/>
          <w:sz w:val="40"/>
          <w:szCs w:val="40"/>
        </w:rPr>
        <w:t xml:space="preserve">七    风险分析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7.1    市场风险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处理器IP产品得不到首个客户认可；和客户获取速度慢于预期；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我们的备用计划一是采用开源商业模式：开放基本设计源码，转向以附加服务和定制设计为主要业务。第二种选择是转向Fabless设计公司，自己完成最终芯片产品设计并推向市场。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7.2    团队风险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创始团队缺乏丰富的公司运营和管理经验;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我们计划雇佣一位经验丰富并和创始团队相互认可的高级管理人员。除此之外，创始团队将通过实践学习，以及建立由经验丰富人士组成的董事会和外部顾问团队降低这一风险。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7.3    财务风险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最大的财务风险是PWRSemi无法募集快速发展所需资金。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我们将采用各种方法减低资金需求量，包括：寻求在早期和潜在客户或上下游厂商建立各种合作关系共同开发和推广产品；依靠自有资金，集中开拓FPGA市场，再寻求合适时间点进入高开发成本高风险的ASIC市场；转换商业模式等。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另外，受现有厂商FUD（Fear，Uncertainty，Doubt）等策略影响，我们认为市场存在一个误导性看法－“微处理器产品需要上百人，数千万上亿资金才能完成开发商品化”。实际上，这并不适用于所有细分市场，商业模式和产品形态。嵌入式处理器IP核属于知识密集和人才依赖型行业。一方面是硅IP公司和Fabless设计公司相比，资金需求和运营复杂度大为降低（同时风险和回报率也相应降低）；另一方面则是随着技术发展，现在的微处理器产品开发成本和二十年前相比大为降低：部分技术从少数公司少数工程师掌握的黑魔术转变为“商品化”技术；EDA工具和设计流程等的发展使单个工程师生产率大幅提升，同时FPGA的应用使得研发能够几乎以零成本快速迭代改进设计。但微处理器内在的复杂性仍然使得产品开发具有“高门槛”的特点，表现为严重依赖于关键人员的技术水平和市场阅读能力。总之，我们认为一个小规模的高质量团队在适量资金的支持下是完全可以在处理器IP核市场取得成功的。</w:t>
      </w:r>
    </w:p>
    <w:p>
      <w:pPr>
        <w:snapToGrid w:val="false"/>
        <w:spacing/>
        <w:ind/>
        <w:jc w:val="left"/>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7.4知识产权风险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参考“知识产权策略”相关部分</w:t>
      </w:r>
    </w:p>
    <w:p>
      <w:pPr>
        <w:snapToGrid w:val="false"/>
        <w:spacing/>
        <w:ind/>
        <w:jc w:val="left"/>
      </w:pPr>
      <w:r>
        <w:rPr>
          <w:rFonts w:ascii="微软雅黑" w:hAnsi="微软雅黑" w:eastAsia="微软雅黑"/>
          <w:sz w:val="24"/>
          <w:szCs w:val="24"/>
        </w:rPr>
      </w:r>
      <w:r>
        <w:rPr>
          <w:rFonts w:ascii="Arial" w:hAnsi="Arial" w:eastAsia="Arial"/>
          <w:b w:val="true"/>
          <w:bCs w:val="true"/>
          <w:color w:val="000000"/>
          <w:sz w:val="40"/>
          <w:szCs w:val="40"/>
        </w:rPr>
        <w:t xml:space="preserve">八 团队</w:t>
      </w:r>
    </w:p>
    <w:p>
      <w:pPr>
        <w:snapToGrid w:val="false"/>
        <w:spacing/>
        <w:ind/>
        <w:jc w:val="left"/>
      </w:pPr>
      <w:r>
        <w:rPr>
          <w:rFonts w:ascii="微软雅黑" w:hAnsi="微软雅黑" w:eastAsia="微软雅黑"/>
          <w:sz w:val="24"/>
          <w:szCs w:val="24"/>
        </w:rPr>
      </w:r>
      <w:r>
        <w:rPr>
          <w:rFonts w:ascii="微软雅黑" w:hAnsi="微软雅黑" w:eastAsia="微软雅黑"/>
          <w:sz w:val="32"/>
          <w:szCs w:val="32"/>
        </w:rPr>
        <w:t>略</w:t>
      </w:r>
    </w:p>
    <w:p>
      <w:pPr>
        <w:snapToGrid w:val="false"/>
        <w:spacing/>
        <w:ind/>
        <w:jc w:val="left"/>
      </w:pPr>
      <w:r>
        <w:rPr>
          <w:rFonts w:ascii="微软雅黑" w:hAnsi="微软雅黑" w:eastAsia="微软雅黑"/>
          <w:sz w:val="24"/>
          <w:szCs w:val="24"/>
        </w:rPr>
      </w:r>
      <w:r>
        <w:rPr>
          <w:rFonts w:ascii="Arial" w:hAnsi="Arial" w:eastAsia="Arial"/>
          <w:b w:val="true"/>
          <w:bCs w:val="true"/>
          <w:color w:val="000000"/>
          <w:sz w:val="40"/>
          <w:szCs w:val="40"/>
        </w:rPr>
        <w:t xml:space="preserve">九 联系我们</w:t>
      </w:r>
    </w:p>
    <w:p>
      <w:pPr>
        <w:snapToGrid w:val="false"/>
        <w:spacing/>
        <w:ind/>
        <w:jc w:val="left"/>
      </w:pPr>
      <w:r>
        <w:rPr>
          <w:rFonts w:ascii="微软雅黑" w:hAnsi="微软雅黑" w:eastAsia="微软雅黑"/>
          <w:sz w:val="24"/>
          <w:szCs w:val="24"/>
        </w:rPr>
      </w:r>
      <w:r>
        <w:rPr>
          <w:rFonts w:ascii="微软雅黑" w:hAnsi="微软雅黑" w:eastAsia="微软雅黑"/>
          <w:sz w:val="32"/>
          <w:szCs w:val="32"/>
        </w:rPr>
        <w:t>略</w:t>
      </w:r>
    </w:p>
    <w:p>
      <w:pPr>
        <w:snapToGrid w:val="false"/>
      </w:pP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