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4AA03">
      <w:pPr>
        <w:spacing w:after="480"/>
        <w:jc w:val="both"/>
      </w:pPr>
      <w:r>
        <w:rPr>
          <w:rFonts w:ascii="Times New Roman" w:hAnsi="Times New Roman" w:eastAsia="宋体"/>
          <w:b/>
          <w:i w:val="0"/>
          <w:color w:val="000000"/>
          <w:sz w:val="36"/>
        </w:rPr>
        <w:t>基于视觉大模型 SAM 的眼底视网膜病变全自动分割技术调研报告</w:t>
      </w:r>
    </w:p>
    <w:p w14:paraId="003DC714">
      <w:pPr>
        <w:spacing w:line="360" w:lineRule="auto"/>
        <w:ind w:left="576" w:right="576"/>
        <w:jc w:val="both"/>
      </w:pPr>
      <w:r>
        <w:rPr>
          <w:rFonts w:ascii="Times New Roman" w:hAnsi="Times New Roman" w:eastAsia="宋体"/>
          <w:b/>
          <w:i w:val="0"/>
          <w:color w:val="000000"/>
          <w:sz w:val="21"/>
        </w:rPr>
        <w:t>摘要：</w:t>
      </w:r>
      <w:r>
        <w:rPr>
          <w:rFonts w:ascii="Times New Roman" w:hAnsi="Times New Roman" w:eastAsia="宋体"/>
          <w:b w:val="0"/>
          <w:i w:val="0"/>
          <w:color w:val="000000"/>
          <w:sz w:val="21"/>
        </w:rPr>
        <w:t>糖尿病视网膜病变（Diabetic Retinopathy, DR）的全自动精准像素级分割在眼科智能辅助诊疗中具有关键临床实用价值。 近年来，通用视觉大模型 Segment Anything Model (SAM) 的诞生为计算机视觉分割领域带来了零样本泛化的全新工作范式。 然而，由于医学影像本身极高的灰度不确定性、复杂拓扑关系以及多退化噪声，未调优的原始基础模型在眼底彩照微小病灶分割任务中表现出显著的适配障碍。 本报告严格遵循学术技术调研规范，系统梳理并量化对比了 MedSAM、SAM-Adapter 及 GlanceSeg 等前沿大模型流派。 通过深入探究 ViT 下采样空间特征塌陷、密集散在病灶人工提示交互崩溃以及设备采集物理模糊等核心瓶颈，并有机融入跨领域多尺度感知理论，创新性地构建了 EA-SAM (Enhance-and-Adapt SAM) 联合优化框架。 在糖尿病视网膜病变公认公开集 IDRiD 上制订了标准分阶消融长跑蓝图与加权联合损失约束体系。 最后，本报告系统总结了实验心得与大模型垂直领域落地的技术范式，为视网膜早期微血管病变的自动化高吞吐无感筛查给出了具备坚实理论支撑和工程复现可能的技术路线图。</w:t>
      </w:r>
    </w:p>
    <w:p w14:paraId="722003B2">
      <w:pPr>
        <w:spacing w:before="0" w:after="0" w:line="240" w:lineRule="auto"/>
        <w:jc w:val="both"/>
      </w:pPr>
    </w:p>
    <w:p w14:paraId="64C20C49">
      <w:pPr>
        <w:keepNext/>
        <w:spacing w:before="240" w:after="240"/>
        <w:jc w:val="both"/>
      </w:pPr>
      <w:r>
        <w:rPr>
          <w:rFonts w:ascii="Times New Roman" w:hAnsi="Times New Roman" w:eastAsia="宋体"/>
          <w:b/>
          <w:i w:val="0"/>
          <w:color w:val="000000"/>
          <w:sz w:val="32"/>
        </w:rPr>
        <w:t>a) 研究背景与现状</w:t>
      </w:r>
    </w:p>
    <w:p w14:paraId="40BAF33F">
      <w:pPr>
        <w:keepNext/>
        <w:spacing w:before="240" w:after="120"/>
        <w:jc w:val="both"/>
      </w:pPr>
      <w:r>
        <w:rPr>
          <w:rFonts w:ascii="Times New Roman" w:hAnsi="Times New Roman" w:eastAsia="宋体"/>
          <w:b/>
          <w:i w:val="0"/>
          <w:color w:val="000000"/>
          <w:sz w:val="28"/>
        </w:rPr>
        <w:t>1. 糖尿病视网膜病变临床病理背景与全自动精准分割意义</w:t>
      </w:r>
    </w:p>
    <w:p w14:paraId="4296C234">
      <w:pPr>
        <w:spacing w:after="120" w:line="360" w:lineRule="auto"/>
        <w:ind w:firstLine="475"/>
        <w:jc w:val="both"/>
      </w:pPr>
      <w:r>
        <w:rPr>
          <w:rFonts w:ascii="Times New Roman" w:hAnsi="Times New Roman" w:eastAsia="宋体"/>
          <w:b w:val="0"/>
          <w:i w:val="0"/>
          <w:color w:val="000000"/>
          <w:sz w:val="24"/>
        </w:rPr>
        <w:t>糖尿病视网膜病变（Diabetic Retinopathy, DR）是由长期高血糖引发的视网膜微血管系统严重损伤，是目前全球劳动适龄人口致盲的主要罪魁祸首。 在临床眼科学理体系中，DR 的演进伴随着一系列典型的局部病理特征：最早出现的体征为视网膜毛细血管内皮受损形成的微动脉瘤（Microaneurysms, MA），随后由于血管壁通透性增加或闭塞，进一步引发视网膜内出血点（Hemorrhages, EX/HA）、脂质沉积造成的硬性渗出（Hard Exudates, HE）以及局部神经纤维层缺血坏死带来的软性渗出（Soft Exudates, SE，亦称棉絮斑）。 对这些形态多变、尺寸极其微小的病灶进行像素级的精准定量分割，是现代眼科辅助诊断分级（如 Mild, Moderate, Severe NPDR 以及增殖期 PDR）的核心金标准，直接指导临床医生评估血管增殖风险及制订黄斑区激光光凝术方案。</w:t>
      </w:r>
    </w:p>
    <w:p w14:paraId="45841C4D">
      <w:pPr>
        <w:spacing w:after="120" w:line="360" w:lineRule="auto"/>
        <w:ind w:firstLine="475"/>
        <w:jc w:val="both"/>
      </w:pPr>
      <w:r>
        <w:rPr>
          <w:rFonts w:ascii="Times New Roman" w:hAnsi="Times New Roman" w:eastAsia="宋体"/>
          <w:b w:val="0"/>
          <w:i w:val="0"/>
          <w:color w:val="000000"/>
          <w:sz w:val="24"/>
        </w:rPr>
        <w:t>但在目前的实际医疗业务场景中，由于单张眼底彩照的分辨率极高（通常在 4K 级别），且早期微动脉瘤或点状出血在全图中的占比微乎其微，依靠人工进行像素勾画需要耗费资深视网膜专家极其漫长的时间成本。 不仅如此，手工标注高度受限于医生的主观经验、设备荧光对比度以及长时间工作带来的视疲劳度，极易引入较高比例的临床假阴性误诊。 因此，研究在完全无感无人工点选状态下，能够对大图多类密集病灶实现兼顾高敏感度与高边缘贴合度的全自动像素分割网络，对推动基层低成本大规模眼底白内障、DR 联合早筛具备极其重大的工程社会意义。</w:t>
      </w:r>
    </w:p>
    <w:p w14:paraId="35A89750">
      <w:pPr>
        <w:keepNext/>
        <w:spacing w:before="240" w:after="120"/>
        <w:jc w:val="both"/>
      </w:pPr>
      <w:r>
        <w:rPr>
          <w:rFonts w:ascii="Times New Roman" w:hAnsi="Times New Roman" w:eastAsia="宋体"/>
          <w:b/>
          <w:i w:val="0"/>
          <w:color w:val="000000"/>
          <w:sz w:val="28"/>
        </w:rPr>
        <w:t>2. SAM 大模型技术演进及其在医学影像分割中的应用范式</w:t>
      </w:r>
    </w:p>
    <w:p w14:paraId="3F33A164">
      <w:pPr>
        <w:spacing w:after="120" w:line="360" w:lineRule="auto"/>
        <w:ind w:firstLine="475"/>
        <w:jc w:val="both"/>
      </w:pPr>
      <w:r>
        <w:rPr>
          <w:rFonts w:ascii="Times New Roman" w:hAnsi="Times New Roman" w:eastAsia="宋体"/>
          <w:b w:val="0"/>
          <w:i w:val="0"/>
          <w:color w:val="000000"/>
          <w:sz w:val="24"/>
        </w:rPr>
        <w:t>Meta AI 于 2023 年推出的视觉基础大模型 Segment Anything Model (SAM) 通过在涵盖 1100 万自然图像、包含 10 亿掩码的超大规模 SA-1B 数据集上进行自监督交互训练，奠定了其在计算机视觉领域的里程碑地位。 SAM 的底层架构优雅地解耦为三个核心支路：基于大型 Vision Transformer (ViT-H/L/B) 的高维长距离图像特征编码器（Image Encoder），用于将输入划分为固定 Patch 提取全局高维语义；支持点、框、文本及上层粗掩码的交互式提示编码器（Prompt Encoder）；以及通过轻量级双向自注意力机制实时将图像特征与提示特征进行高频对齐的多层掩码解码器（Mask Decoder）。</w:t>
      </w:r>
    </w:p>
    <w:p w14:paraId="6D001138">
      <w:pPr>
        <w:spacing w:after="120" w:line="360" w:lineRule="auto"/>
        <w:ind w:firstLine="475"/>
        <w:jc w:val="both"/>
      </w:pPr>
      <w:r>
        <w:rPr>
          <w:rFonts w:ascii="Times New Roman" w:hAnsi="Times New Roman" w:eastAsia="宋体"/>
          <w:b w:val="0"/>
          <w:i w:val="0"/>
          <w:color w:val="000000"/>
          <w:sz w:val="24"/>
        </w:rPr>
        <w:t>在自然图像领域大获成功后，学术界随之掀起了“基础大模型向特定垂直医学域对齐”的研究浪潮。 医学影像分割（Medical Image Segmentation, MIS）传统上高度依赖针对单器官、单模态定制的小型 U-Net 变体，面临极差的跨域泛化能力。而基础大模型的介入，为医学影像分割注入了全新的“普适性底层语义先验”。 通过将大模型强大的边界切割能力和交互引导引入医疗场景，医生可以利用少量的点击快速完成复杂肿瘤、器官的精准勾画，彻底颠覆了传统的弱监督或全监督单任务学习范式，为少样本（Few-shot）和零样本（Zero-shot）医疗智能阅片开启了新纪元。</w:t>
      </w:r>
    </w:p>
    <w:p w14:paraId="68070B07">
      <w:pPr>
        <w:keepNext/>
        <w:spacing w:before="240" w:after="120"/>
        <w:jc w:val="both"/>
      </w:pPr>
      <w:r>
        <w:rPr>
          <w:rFonts w:ascii="Times New Roman" w:hAnsi="Times New Roman" w:eastAsia="宋体"/>
          <w:b/>
          <w:i w:val="0"/>
          <w:color w:val="000000"/>
          <w:sz w:val="28"/>
        </w:rPr>
        <w:t>3. 基于 SAM 的眼底视网膜病变分割前沿 SOTA 研究综述</w:t>
      </w:r>
    </w:p>
    <w:p w14:paraId="64464093">
      <w:pPr>
        <w:spacing w:after="120" w:line="360" w:lineRule="auto"/>
        <w:ind w:firstLine="475"/>
        <w:jc w:val="both"/>
      </w:pPr>
      <w:r>
        <w:rPr>
          <w:rFonts w:ascii="Times New Roman" w:hAnsi="Times New Roman" w:eastAsia="宋体"/>
          <w:b w:val="0"/>
          <w:i w:val="0"/>
          <w:color w:val="000000"/>
          <w:sz w:val="24"/>
        </w:rPr>
        <w:t xml:space="preserve">虽然通用大模型的潜力巨大，但由于原始自然数据集 SA-1B 与临床眼底彩色底片之间存在巨大的“成像物理鸿沟”与“解剖纹理错配”，直接套用原始大模型必然面临边缘失焦与噪声泛滥。 为此，近两年来学术界针对基于 SAM 的眼底病变分割展开了密集的 State-of-the-Art (SOTA) 攻关，逐渐演化为两大主流技术路径：第一类是以 MedSAM 和 SAM-Med2D 为代表的“海量医疗域参数对齐流派”，MedSAM 通过收集处理超 150 万张跨模态医学掩码对，对 SAM 进行了大规模重训，使其具备了基础的医疗图像空间感知； SAM-Med2D 则专注于 2D 医疗图像，构建了包含 4.6M 图像的高内聚微调基准。 第二类是以 Medical SAM Adapter (SAM-Adapter) 和 GlanceSeg 为代表的“轻量级的高效参数微调（PEFT）与特定解剖先验融合流派”。 SAM-Adapter 通过完全冻结庞大的预训练 ViT 骨干，仅在 Block 之间插入极其轻量（约占总参数 2%）的空间/深度感知器，在保持大模型长距离泛化本领的同时，以极低算力成本引导网络高效收敛于下游视网膜纹理；而 GlanceSeg 则走得更远，首次提取了专业眼科医生阅片时的动态眼动注视图（Gaze Map）作为一种高浓度空间自适应 Prompt，使大模型对直径极小的微动脉瘤具备了行业领先的检出敏感度。 </w:t>
      </w:r>
    </w:p>
    <w:p w14:paraId="4BA867C6">
      <w:pPr>
        <w:spacing w:after="120" w:line="360" w:lineRule="auto"/>
        <w:ind w:firstLine="475"/>
        <w:jc w:val="both"/>
      </w:pPr>
      <w:r>
        <w:rPr>
          <w:rFonts w:ascii="Times New Roman" w:hAnsi="Times New Roman" w:eastAsia="宋体"/>
          <w:b w:val="0"/>
          <w:i w:val="0"/>
          <w:color w:val="000000"/>
          <w:sz w:val="24"/>
        </w:rPr>
        <w:t>为了更直观、严谨地量化评估当前前沿流派的技术优劣，表1 汇总展示了各主流模型在糖尿病视网膜病变分割权威基准公开集 IDRiD 上的综合量化表现对比：</w:t>
      </w:r>
    </w:p>
    <w:p w14:paraId="63924E22">
      <w:pPr>
        <w:keepNext/>
        <w:spacing w:before="240" w:after="80"/>
        <w:jc w:val="both"/>
      </w:pPr>
      <w:r>
        <w:rPr>
          <w:rFonts w:ascii="Times New Roman" w:hAnsi="Times New Roman" w:eastAsia="宋体"/>
          <w:b/>
          <w:i w:val="0"/>
          <w:color w:val="000000"/>
          <w:sz w:val="21"/>
        </w:rPr>
        <w:t>表1 主流大模型方法在眼底病变数据集 IDRiD 上的量化性能与底层机制对比</w:t>
      </w:r>
    </w:p>
    <w:tbl>
      <w:tblPr>
        <w:tblStyle w:val="32"/>
        <w:tblW w:w="0" w:type="auto"/>
        <w:jc w:val="center"/>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Layout w:type="autofit"/>
        <w:tblCellMar>
          <w:top w:w="0" w:type="dxa"/>
          <w:left w:w="108" w:type="dxa"/>
          <w:bottom w:w="0" w:type="dxa"/>
          <w:right w:w="108" w:type="dxa"/>
        </w:tblCellMar>
      </w:tblPr>
      <w:tblGrid>
        <w:gridCol w:w="1728"/>
        <w:gridCol w:w="1728"/>
        <w:gridCol w:w="1728"/>
        <w:gridCol w:w="1728"/>
        <w:gridCol w:w="1728"/>
      </w:tblGrid>
      <w:tr w14:paraId="134B250C">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EFEFEF"/>
            <w:tcMar>
              <w:top w:w="120" w:type="dxa"/>
              <w:left w:w="140" w:type="dxa"/>
              <w:bottom w:w="120" w:type="dxa"/>
              <w:right w:w="140" w:type="dxa"/>
            </w:tcMar>
          </w:tcPr>
          <w:p w14:paraId="0C15B020">
            <w:pPr>
              <w:jc w:val="center"/>
            </w:pPr>
            <w:r>
              <w:rPr>
                <w:rFonts w:ascii="Times New Roman" w:hAnsi="Times New Roman" w:eastAsia="宋体"/>
                <w:b/>
                <w:i w:val="0"/>
                <w:color w:val="000000"/>
                <w:sz w:val="21"/>
              </w:rPr>
              <w:t>核心模型名称</w:t>
            </w:r>
          </w:p>
        </w:tc>
        <w:tc>
          <w:tcPr>
            <w:tcW w:w="1728" w:type="dxa"/>
            <w:shd w:val="clear" w:color="auto" w:fill="EFEFEF"/>
            <w:tcMar>
              <w:top w:w="120" w:type="dxa"/>
              <w:left w:w="140" w:type="dxa"/>
              <w:bottom w:w="120" w:type="dxa"/>
              <w:right w:w="140" w:type="dxa"/>
            </w:tcMar>
          </w:tcPr>
          <w:p w14:paraId="1B978B73">
            <w:pPr>
              <w:jc w:val="center"/>
            </w:pPr>
            <w:r>
              <w:rPr>
                <w:rFonts w:ascii="Times New Roman" w:hAnsi="Times New Roman" w:eastAsia="宋体"/>
                <w:b/>
                <w:i w:val="0"/>
                <w:color w:val="000000"/>
                <w:sz w:val="21"/>
              </w:rPr>
              <w:t>技术分类属性</w:t>
            </w:r>
          </w:p>
        </w:tc>
        <w:tc>
          <w:tcPr>
            <w:tcW w:w="1728" w:type="dxa"/>
            <w:shd w:val="clear" w:color="auto" w:fill="EFEFEF"/>
            <w:tcMar>
              <w:top w:w="120" w:type="dxa"/>
              <w:left w:w="140" w:type="dxa"/>
              <w:bottom w:w="120" w:type="dxa"/>
              <w:right w:w="140" w:type="dxa"/>
            </w:tcMar>
          </w:tcPr>
          <w:p w14:paraId="0E983B68">
            <w:pPr>
              <w:jc w:val="center"/>
            </w:pPr>
            <w:r>
              <w:rPr>
                <w:rFonts w:ascii="Times New Roman" w:hAnsi="Times New Roman" w:eastAsia="宋体"/>
                <w:b/>
                <w:i w:val="0"/>
                <w:color w:val="000000"/>
                <w:sz w:val="21"/>
              </w:rPr>
              <w:t>MA (微动脉瘤) Dice</w:t>
            </w:r>
          </w:p>
        </w:tc>
        <w:tc>
          <w:tcPr>
            <w:tcW w:w="1728" w:type="dxa"/>
            <w:shd w:val="clear" w:color="auto" w:fill="EFEFEF"/>
            <w:tcMar>
              <w:top w:w="120" w:type="dxa"/>
              <w:left w:w="140" w:type="dxa"/>
              <w:bottom w:w="120" w:type="dxa"/>
              <w:right w:w="140" w:type="dxa"/>
            </w:tcMar>
          </w:tcPr>
          <w:p w14:paraId="403640D2">
            <w:pPr>
              <w:jc w:val="center"/>
            </w:pPr>
            <w:r>
              <w:rPr>
                <w:rFonts w:ascii="Times New Roman" w:hAnsi="Times New Roman" w:eastAsia="宋体"/>
                <w:b/>
                <w:i w:val="0"/>
                <w:color w:val="000000"/>
                <w:sz w:val="21"/>
              </w:rPr>
              <w:t>HE (硬性渗出) Dice</w:t>
            </w:r>
          </w:p>
        </w:tc>
        <w:tc>
          <w:tcPr>
            <w:tcW w:w="1728" w:type="dxa"/>
            <w:shd w:val="clear" w:color="auto" w:fill="EFEFEF"/>
            <w:tcMar>
              <w:top w:w="120" w:type="dxa"/>
              <w:left w:w="140" w:type="dxa"/>
              <w:bottom w:w="120" w:type="dxa"/>
              <w:right w:w="140" w:type="dxa"/>
            </w:tcMar>
          </w:tcPr>
          <w:p w14:paraId="18917947">
            <w:pPr>
              <w:jc w:val="center"/>
            </w:pPr>
            <w:r>
              <w:rPr>
                <w:rFonts w:ascii="Times New Roman" w:hAnsi="Times New Roman" w:eastAsia="宋体"/>
                <w:b/>
                <w:i w:val="0"/>
                <w:color w:val="000000"/>
                <w:sz w:val="21"/>
              </w:rPr>
              <w:t>底层架构机制与局限性学术剖析</w:t>
            </w:r>
          </w:p>
        </w:tc>
      </w:tr>
      <w:tr w14:paraId="136907EB">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74E30301">
            <w:pPr>
              <w:jc w:val="left"/>
            </w:pPr>
            <w:r>
              <w:rPr>
                <w:rFonts w:ascii="Times New Roman" w:hAnsi="Times New Roman" w:eastAsia="宋体"/>
                <w:b w:val="0"/>
                <w:i w:val="0"/>
                <w:color w:val="000000"/>
                <w:sz w:val="20"/>
              </w:rPr>
              <w:t>Vanilla SAM</w:t>
            </w:r>
          </w:p>
        </w:tc>
        <w:tc>
          <w:tcPr>
            <w:tcW w:w="1728" w:type="dxa"/>
            <w:shd w:val="clear" w:color="auto" w:fill="FFFFFF"/>
            <w:tcMar>
              <w:top w:w="100" w:type="dxa"/>
              <w:left w:w="140" w:type="dxa"/>
              <w:bottom w:w="100" w:type="dxa"/>
              <w:right w:w="140" w:type="dxa"/>
            </w:tcMar>
          </w:tcPr>
          <w:p w14:paraId="2531AF1E">
            <w:pPr>
              <w:jc w:val="left"/>
            </w:pPr>
            <w:r>
              <w:rPr>
                <w:rFonts w:ascii="Times New Roman" w:hAnsi="Times New Roman" w:eastAsia="宋体"/>
                <w:b w:val="0"/>
                <w:i w:val="0"/>
                <w:color w:val="000000"/>
                <w:sz w:val="20"/>
              </w:rPr>
              <w:t>零样本泛化大模型</w:t>
            </w:r>
          </w:p>
        </w:tc>
        <w:tc>
          <w:tcPr>
            <w:tcW w:w="1728" w:type="dxa"/>
            <w:shd w:val="clear" w:color="auto" w:fill="FFFFFF"/>
            <w:tcMar>
              <w:top w:w="100" w:type="dxa"/>
              <w:left w:w="140" w:type="dxa"/>
              <w:bottom w:w="100" w:type="dxa"/>
              <w:right w:w="140" w:type="dxa"/>
            </w:tcMar>
          </w:tcPr>
          <w:p w14:paraId="41294F3B">
            <w:pPr>
              <w:jc w:val="center"/>
            </w:pPr>
            <w:r>
              <w:rPr>
                <w:rFonts w:ascii="Times New Roman" w:hAnsi="Times New Roman" w:eastAsia="宋体"/>
                <w:b w:val="0"/>
                <w:i w:val="0"/>
                <w:color w:val="000000"/>
                <w:sz w:val="20"/>
              </w:rPr>
              <w:t>&lt; 10.0%</w:t>
            </w:r>
          </w:p>
        </w:tc>
        <w:tc>
          <w:tcPr>
            <w:tcW w:w="1728" w:type="dxa"/>
            <w:shd w:val="clear" w:color="auto" w:fill="FFFFFF"/>
            <w:tcMar>
              <w:top w:w="100" w:type="dxa"/>
              <w:left w:w="140" w:type="dxa"/>
              <w:bottom w:w="100" w:type="dxa"/>
              <w:right w:w="140" w:type="dxa"/>
            </w:tcMar>
          </w:tcPr>
          <w:p w14:paraId="787C14C4">
            <w:pPr>
              <w:jc w:val="center"/>
            </w:pPr>
            <w:r>
              <w:rPr>
                <w:rFonts w:ascii="Times New Roman" w:hAnsi="Times New Roman" w:eastAsia="宋体"/>
                <w:b w:val="0"/>
                <w:i w:val="0"/>
                <w:color w:val="000000"/>
                <w:sz w:val="20"/>
              </w:rPr>
              <w:t>&lt; 20.0%</w:t>
            </w:r>
          </w:p>
        </w:tc>
        <w:tc>
          <w:tcPr>
            <w:tcW w:w="1728" w:type="dxa"/>
            <w:shd w:val="clear" w:color="auto" w:fill="FFFFFF"/>
            <w:tcMar>
              <w:top w:w="100" w:type="dxa"/>
              <w:left w:w="140" w:type="dxa"/>
              <w:bottom w:w="100" w:type="dxa"/>
              <w:right w:w="140" w:type="dxa"/>
            </w:tcMar>
          </w:tcPr>
          <w:p w14:paraId="6EA84397">
            <w:pPr>
              <w:jc w:val="left"/>
            </w:pPr>
            <w:r>
              <w:rPr>
                <w:rFonts w:ascii="Times New Roman" w:hAnsi="Times New Roman" w:eastAsia="宋体"/>
                <w:b w:val="0"/>
                <w:i w:val="0"/>
                <w:color w:val="000000"/>
                <w:sz w:val="20"/>
              </w:rPr>
              <w:t>由于完全缺乏医学组织边界与解剖梯度先验，容易将微小渐变斑点直接平滑为背景。</w:t>
            </w:r>
          </w:p>
        </w:tc>
      </w:tr>
      <w:tr w14:paraId="112D4454">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FAFAFA"/>
            <w:tcMar>
              <w:top w:w="100" w:type="dxa"/>
              <w:left w:w="140" w:type="dxa"/>
              <w:bottom w:w="100" w:type="dxa"/>
              <w:right w:w="140" w:type="dxa"/>
            </w:tcMar>
          </w:tcPr>
          <w:p w14:paraId="66EBA8BD">
            <w:pPr>
              <w:jc w:val="left"/>
            </w:pPr>
            <w:r>
              <w:rPr>
                <w:rFonts w:ascii="Times New Roman" w:hAnsi="Times New Roman" w:eastAsia="宋体"/>
                <w:b w:val="0"/>
                <w:i w:val="0"/>
                <w:color w:val="000000"/>
                <w:sz w:val="20"/>
              </w:rPr>
              <w:t>RTNet (2022)</w:t>
            </w:r>
          </w:p>
        </w:tc>
        <w:tc>
          <w:tcPr>
            <w:tcW w:w="1728" w:type="dxa"/>
            <w:shd w:val="clear" w:color="auto" w:fill="FAFAFA"/>
            <w:tcMar>
              <w:top w:w="100" w:type="dxa"/>
              <w:left w:w="140" w:type="dxa"/>
              <w:bottom w:w="100" w:type="dxa"/>
              <w:right w:w="140" w:type="dxa"/>
            </w:tcMar>
          </w:tcPr>
          <w:p w14:paraId="1D93240B">
            <w:pPr>
              <w:jc w:val="left"/>
            </w:pPr>
            <w:r>
              <w:rPr>
                <w:rFonts w:ascii="Times New Roman" w:hAnsi="Times New Roman" w:eastAsia="宋体"/>
                <w:b w:val="0"/>
                <w:i w:val="0"/>
                <w:color w:val="000000"/>
                <w:sz w:val="20"/>
              </w:rPr>
              <w:t>传统专精拓扑网络</w:t>
            </w:r>
          </w:p>
        </w:tc>
        <w:tc>
          <w:tcPr>
            <w:tcW w:w="1728" w:type="dxa"/>
            <w:shd w:val="clear" w:color="auto" w:fill="FAFAFA"/>
            <w:tcMar>
              <w:top w:w="100" w:type="dxa"/>
              <w:left w:w="140" w:type="dxa"/>
              <w:bottom w:w="100" w:type="dxa"/>
              <w:right w:w="140" w:type="dxa"/>
            </w:tcMar>
          </w:tcPr>
          <w:p w14:paraId="05F36381">
            <w:pPr>
              <w:jc w:val="center"/>
            </w:pPr>
            <w:r>
              <w:rPr>
                <w:rFonts w:ascii="Times New Roman" w:hAnsi="Times New Roman" w:eastAsia="宋体"/>
                <w:b w:val="0"/>
                <w:i w:val="0"/>
                <w:color w:val="000000"/>
                <w:sz w:val="20"/>
              </w:rPr>
              <w:t>48.5%</w:t>
            </w:r>
          </w:p>
        </w:tc>
        <w:tc>
          <w:tcPr>
            <w:tcW w:w="1728" w:type="dxa"/>
            <w:shd w:val="clear" w:color="auto" w:fill="FAFAFA"/>
            <w:tcMar>
              <w:top w:w="100" w:type="dxa"/>
              <w:left w:w="140" w:type="dxa"/>
              <w:bottom w:w="100" w:type="dxa"/>
              <w:right w:w="140" w:type="dxa"/>
            </w:tcMar>
          </w:tcPr>
          <w:p w14:paraId="1FB5DA26">
            <w:pPr>
              <w:jc w:val="center"/>
            </w:pPr>
            <w:r>
              <w:rPr>
                <w:rFonts w:ascii="Times New Roman" w:hAnsi="Times New Roman" w:eastAsia="宋体"/>
                <w:b w:val="0"/>
                <w:i w:val="0"/>
                <w:color w:val="000000"/>
                <w:sz w:val="20"/>
              </w:rPr>
              <w:t>69.2%</w:t>
            </w:r>
          </w:p>
        </w:tc>
        <w:tc>
          <w:tcPr>
            <w:tcW w:w="1728" w:type="dxa"/>
            <w:shd w:val="clear" w:color="auto" w:fill="FAFAFA"/>
            <w:tcMar>
              <w:top w:w="100" w:type="dxa"/>
              <w:left w:w="140" w:type="dxa"/>
              <w:bottom w:w="100" w:type="dxa"/>
              <w:right w:w="140" w:type="dxa"/>
            </w:tcMar>
          </w:tcPr>
          <w:p w14:paraId="368AEDEE">
            <w:pPr>
              <w:jc w:val="left"/>
            </w:pPr>
            <w:r>
              <w:rPr>
                <w:rFonts w:ascii="Times New Roman" w:hAnsi="Times New Roman" w:eastAsia="宋体"/>
                <w:b w:val="0"/>
                <w:i w:val="0"/>
                <w:color w:val="000000"/>
                <w:sz w:val="20"/>
              </w:rPr>
              <w:t>前大模型时期的经典强基线，利用自注意力建模多病灶几何关系，但缺乏大模型预训练红利。</w:t>
            </w:r>
          </w:p>
        </w:tc>
      </w:tr>
      <w:tr w14:paraId="62FFAED7">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11930F22">
            <w:pPr>
              <w:jc w:val="left"/>
            </w:pPr>
            <w:r>
              <w:rPr>
                <w:rFonts w:ascii="Times New Roman" w:hAnsi="Times New Roman" w:eastAsia="宋体"/>
                <w:b w:val="0"/>
                <w:i w:val="0"/>
                <w:color w:val="000000"/>
                <w:sz w:val="20"/>
              </w:rPr>
              <w:t>MedSAM (2024)</w:t>
            </w:r>
          </w:p>
        </w:tc>
        <w:tc>
          <w:tcPr>
            <w:tcW w:w="1728" w:type="dxa"/>
            <w:shd w:val="clear" w:color="auto" w:fill="FFFFFF"/>
            <w:tcMar>
              <w:top w:w="100" w:type="dxa"/>
              <w:left w:w="140" w:type="dxa"/>
              <w:bottom w:w="100" w:type="dxa"/>
              <w:right w:w="140" w:type="dxa"/>
            </w:tcMar>
          </w:tcPr>
          <w:p w14:paraId="66BCAB8D">
            <w:pPr>
              <w:jc w:val="left"/>
            </w:pPr>
            <w:r>
              <w:rPr>
                <w:rFonts w:ascii="Times New Roman" w:hAnsi="Times New Roman" w:eastAsia="宋体"/>
                <w:b w:val="0"/>
                <w:i w:val="0"/>
                <w:color w:val="000000"/>
                <w:sz w:val="20"/>
              </w:rPr>
              <w:t>通用医疗全量微调</w:t>
            </w:r>
          </w:p>
        </w:tc>
        <w:tc>
          <w:tcPr>
            <w:tcW w:w="1728" w:type="dxa"/>
            <w:shd w:val="clear" w:color="auto" w:fill="FFFFFF"/>
            <w:tcMar>
              <w:top w:w="100" w:type="dxa"/>
              <w:left w:w="140" w:type="dxa"/>
              <w:bottom w:w="100" w:type="dxa"/>
              <w:right w:w="140" w:type="dxa"/>
            </w:tcMar>
          </w:tcPr>
          <w:p w14:paraId="1B880486">
            <w:pPr>
              <w:jc w:val="center"/>
            </w:pPr>
            <w:r>
              <w:rPr>
                <w:rFonts w:ascii="Times New Roman" w:hAnsi="Times New Roman" w:eastAsia="宋体"/>
                <w:b w:val="0"/>
                <w:i w:val="0"/>
                <w:color w:val="000000"/>
                <w:sz w:val="20"/>
              </w:rPr>
              <w:t>40.2%</w:t>
            </w:r>
          </w:p>
        </w:tc>
        <w:tc>
          <w:tcPr>
            <w:tcW w:w="1728" w:type="dxa"/>
            <w:shd w:val="clear" w:color="auto" w:fill="FFFFFF"/>
            <w:tcMar>
              <w:top w:w="100" w:type="dxa"/>
              <w:left w:w="140" w:type="dxa"/>
              <w:bottom w:w="100" w:type="dxa"/>
              <w:right w:w="140" w:type="dxa"/>
            </w:tcMar>
          </w:tcPr>
          <w:p w14:paraId="7FFC596E">
            <w:pPr>
              <w:jc w:val="center"/>
            </w:pPr>
            <w:r>
              <w:rPr>
                <w:rFonts w:ascii="Times New Roman" w:hAnsi="Times New Roman" w:eastAsia="宋体"/>
                <w:b w:val="0"/>
                <w:i w:val="0"/>
                <w:color w:val="000000"/>
                <w:sz w:val="20"/>
              </w:rPr>
              <w:t>65.1%</w:t>
            </w:r>
          </w:p>
        </w:tc>
        <w:tc>
          <w:tcPr>
            <w:tcW w:w="1728" w:type="dxa"/>
            <w:shd w:val="clear" w:color="auto" w:fill="FFFFFF"/>
            <w:tcMar>
              <w:top w:w="100" w:type="dxa"/>
              <w:left w:w="140" w:type="dxa"/>
              <w:bottom w:w="100" w:type="dxa"/>
              <w:right w:w="140" w:type="dxa"/>
            </w:tcMar>
          </w:tcPr>
          <w:p w14:paraId="10499631">
            <w:pPr>
              <w:jc w:val="left"/>
            </w:pPr>
            <w:r>
              <w:rPr>
                <w:rFonts w:ascii="Times New Roman" w:hAnsi="Times New Roman" w:eastAsia="宋体"/>
                <w:b w:val="0"/>
                <w:i w:val="0"/>
                <w:color w:val="000000"/>
                <w:sz w:val="20"/>
              </w:rPr>
              <w:t>跨模态医疗器官对齐优秀，但骨干下采样过大导致针对眼底超细微斑点的局部响应较弱。</w:t>
            </w:r>
          </w:p>
        </w:tc>
      </w:tr>
      <w:tr w14:paraId="7E38D384">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FAFAFA"/>
            <w:tcMar>
              <w:top w:w="100" w:type="dxa"/>
              <w:left w:w="140" w:type="dxa"/>
              <w:bottom w:w="100" w:type="dxa"/>
              <w:right w:w="140" w:type="dxa"/>
            </w:tcMar>
          </w:tcPr>
          <w:p w14:paraId="4F8FD2DD">
            <w:pPr>
              <w:jc w:val="left"/>
            </w:pPr>
            <w:r>
              <w:rPr>
                <w:rFonts w:ascii="Times New Roman" w:hAnsi="Times New Roman" w:eastAsia="宋体"/>
                <w:b w:val="0"/>
                <w:i w:val="0"/>
                <w:color w:val="000000"/>
                <w:sz w:val="20"/>
              </w:rPr>
              <w:t>SAM-Med2D (2023)</w:t>
            </w:r>
          </w:p>
        </w:tc>
        <w:tc>
          <w:tcPr>
            <w:tcW w:w="1728" w:type="dxa"/>
            <w:shd w:val="clear" w:color="auto" w:fill="FAFAFA"/>
            <w:tcMar>
              <w:top w:w="100" w:type="dxa"/>
              <w:left w:w="140" w:type="dxa"/>
              <w:bottom w:w="100" w:type="dxa"/>
              <w:right w:w="140" w:type="dxa"/>
            </w:tcMar>
          </w:tcPr>
          <w:p w14:paraId="7DFC26DE">
            <w:pPr>
              <w:jc w:val="left"/>
            </w:pPr>
            <w:r>
              <w:rPr>
                <w:rFonts w:ascii="Times New Roman" w:hAnsi="Times New Roman" w:eastAsia="宋体"/>
                <w:b w:val="0"/>
                <w:i w:val="0"/>
                <w:color w:val="000000"/>
                <w:sz w:val="20"/>
              </w:rPr>
              <w:t>2D 医疗特定微调</w:t>
            </w:r>
          </w:p>
        </w:tc>
        <w:tc>
          <w:tcPr>
            <w:tcW w:w="1728" w:type="dxa"/>
            <w:shd w:val="clear" w:color="auto" w:fill="FAFAFA"/>
            <w:tcMar>
              <w:top w:w="100" w:type="dxa"/>
              <w:left w:w="140" w:type="dxa"/>
              <w:bottom w:w="100" w:type="dxa"/>
              <w:right w:w="140" w:type="dxa"/>
            </w:tcMar>
          </w:tcPr>
          <w:p w14:paraId="13F294DA">
            <w:pPr>
              <w:jc w:val="center"/>
            </w:pPr>
            <w:r>
              <w:rPr>
                <w:rFonts w:ascii="Times New Roman" w:hAnsi="Times New Roman" w:eastAsia="宋体"/>
                <w:b w:val="0"/>
                <w:i w:val="0"/>
                <w:color w:val="000000"/>
                <w:sz w:val="20"/>
              </w:rPr>
              <w:t>44.6%</w:t>
            </w:r>
          </w:p>
        </w:tc>
        <w:tc>
          <w:tcPr>
            <w:tcW w:w="1728" w:type="dxa"/>
            <w:shd w:val="clear" w:color="auto" w:fill="FAFAFA"/>
            <w:tcMar>
              <w:top w:w="100" w:type="dxa"/>
              <w:left w:w="140" w:type="dxa"/>
              <w:bottom w:w="100" w:type="dxa"/>
              <w:right w:w="140" w:type="dxa"/>
            </w:tcMar>
          </w:tcPr>
          <w:p w14:paraId="580C9620">
            <w:pPr>
              <w:jc w:val="center"/>
            </w:pPr>
            <w:r>
              <w:rPr>
                <w:rFonts w:ascii="Times New Roman" w:hAnsi="Times New Roman" w:eastAsia="宋体"/>
                <w:b w:val="0"/>
                <w:i w:val="0"/>
                <w:color w:val="000000"/>
                <w:sz w:val="20"/>
              </w:rPr>
              <w:t>67.8%</w:t>
            </w:r>
          </w:p>
        </w:tc>
        <w:tc>
          <w:tcPr>
            <w:tcW w:w="1728" w:type="dxa"/>
            <w:shd w:val="clear" w:color="auto" w:fill="FAFAFA"/>
            <w:tcMar>
              <w:top w:w="100" w:type="dxa"/>
              <w:left w:w="140" w:type="dxa"/>
              <w:bottom w:w="100" w:type="dxa"/>
              <w:right w:w="140" w:type="dxa"/>
            </w:tcMar>
          </w:tcPr>
          <w:p w14:paraId="26B13E60">
            <w:pPr>
              <w:jc w:val="left"/>
            </w:pPr>
            <w:r>
              <w:rPr>
                <w:rFonts w:ascii="Times New Roman" w:hAnsi="Times New Roman" w:eastAsia="宋体"/>
                <w:b w:val="0"/>
                <w:i w:val="0"/>
                <w:color w:val="000000"/>
                <w:sz w:val="20"/>
              </w:rPr>
              <w:t>聚焦于 2D 医疗切片的大规模提示训练，但在应对眼底相机特定光照物理退化时表现出波动性。</w:t>
            </w:r>
          </w:p>
        </w:tc>
      </w:tr>
      <w:tr w14:paraId="1CBF6786">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FFFFFF"/>
            <w:tcMar>
              <w:top w:w="100" w:type="dxa"/>
              <w:left w:w="140" w:type="dxa"/>
              <w:bottom w:w="100" w:type="dxa"/>
              <w:right w:w="140" w:type="dxa"/>
            </w:tcMar>
          </w:tcPr>
          <w:p w14:paraId="445BFCCF">
            <w:pPr>
              <w:jc w:val="left"/>
            </w:pPr>
            <w:r>
              <w:rPr>
                <w:rFonts w:ascii="Times New Roman" w:hAnsi="Times New Roman" w:eastAsia="宋体"/>
                <w:b w:val="0"/>
                <w:i w:val="0"/>
                <w:color w:val="000000"/>
                <w:sz w:val="20"/>
              </w:rPr>
              <w:t>SAM-Adapter (2024)</w:t>
            </w:r>
          </w:p>
        </w:tc>
        <w:tc>
          <w:tcPr>
            <w:tcW w:w="1728" w:type="dxa"/>
            <w:shd w:val="clear" w:color="auto" w:fill="FFFFFF"/>
            <w:tcMar>
              <w:top w:w="100" w:type="dxa"/>
              <w:left w:w="140" w:type="dxa"/>
              <w:bottom w:w="100" w:type="dxa"/>
              <w:right w:w="140" w:type="dxa"/>
            </w:tcMar>
          </w:tcPr>
          <w:p w14:paraId="6C27765B">
            <w:pPr>
              <w:jc w:val="left"/>
            </w:pPr>
            <w:r>
              <w:rPr>
                <w:rFonts w:ascii="Times New Roman" w:hAnsi="Times New Roman" w:eastAsia="宋体"/>
                <w:b w:val="0"/>
                <w:i w:val="0"/>
                <w:color w:val="000000"/>
                <w:sz w:val="20"/>
              </w:rPr>
              <w:t>参数高效微调 (PEFT)</w:t>
            </w:r>
          </w:p>
        </w:tc>
        <w:tc>
          <w:tcPr>
            <w:tcW w:w="1728" w:type="dxa"/>
            <w:shd w:val="clear" w:color="auto" w:fill="FFFFFF"/>
            <w:tcMar>
              <w:top w:w="100" w:type="dxa"/>
              <w:left w:w="140" w:type="dxa"/>
              <w:bottom w:w="100" w:type="dxa"/>
              <w:right w:w="140" w:type="dxa"/>
            </w:tcMar>
          </w:tcPr>
          <w:p w14:paraId="54F52F02">
            <w:pPr>
              <w:jc w:val="center"/>
            </w:pPr>
            <w:r>
              <w:rPr>
                <w:rFonts w:ascii="Times New Roman" w:hAnsi="Times New Roman" w:eastAsia="宋体"/>
                <w:b w:val="0"/>
                <w:i w:val="0"/>
                <w:color w:val="000000"/>
                <w:sz w:val="20"/>
              </w:rPr>
              <w:t>49.3%</w:t>
            </w:r>
          </w:p>
        </w:tc>
        <w:tc>
          <w:tcPr>
            <w:tcW w:w="1728" w:type="dxa"/>
            <w:shd w:val="clear" w:color="auto" w:fill="FFFFFF"/>
            <w:tcMar>
              <w:top w:w="100" w:type="dxa"/>
              <w:left w:w="140" w:type="dxa"/>
              <w:bottom w:w="100" w:type="dxa"/>
              <w:right w:w="140" w:type="dxa"/>
            </w:tcMar>
          </w:tcPr>
          <w:p w14:paraId="0B6DC516">
            <w:pPr>
              <w:jc w:val="center"/>
            </w:pPr>
            <w:r>
              <w:rPr>
                <w:rFonts w:ascii="Times New Roman" w:hAnsi="Times New Roman" w:eastAsia="宋体"/>
                <w:b w:val="0"/>
                <w:i w:val="0"/>
                <w:color w:val="000000"/>
                <w:sz w:val="20"/>
              </w:rPr>
              <w:t>71.5%</w:t>
            </w:r>
          </w:p>
        </w:tc>
        <w:tc>
          <w:tcPr>
            <w:tcW w:w="1728" w:type="dxa"/>
            <w:shd w:val="clear" w:color="auto" w:fill="FFFFFF"/>
            <w:tcMar>
              <w:top w:w="100" w:type="dxa"/>
              <w:left w:w="140" w:type="dxa"/>
              <w:bottom w:w="100" w:type="dxa"/>
              <w:right w:w="140" w:type="dxa"/>
            </w:tcMar>
          </w:tcPr>
          <w:p w14:paraId="72D75AF3">
            <w:pPr>
              <w:jc w:val="left"/>
            </w:pPr>
            <w:r>
              <w:rPr>
                <w:rFonts w:ascii="Times New Roman" w:hAnsi="Times New Roman" w:eastAsia="宋体"/>
                <w:b w:val="0"/>
                <w:i w:val="0"/>
                <w:color w:val="000000"/>
                <w:sz w:val="20"/>
              </w:rPr>
              <w:t>完全冻结 ViT 图像大脑，利用轻量级适配器注入局部高频空间纹理，兼具低显存与高精度的平衡。</w:t>
            </w:r>
          </w:p>
        </w:tc>
      </w:tr>
      <w:tr w14:paraId="0B05A7AB">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1728" w:type="dxa"/>
            <w:shd w:val="clear" w:color="auto" w:fill="FAFAFA"/>
            <w:tcMar>
              <w:top w:w="100" w:type="dxa"/>
              <w:left w:w="140" w:type="dxa"/>
              <w:bottom w:w="100" w:type="dxa"/>
              <w:right w:w="140" w:type="dxa"/>
            </w:tcMar>
          </w:tcPr>
          <w:p w14:paraId="152BD8F9">
            <w:pPr>
              <w:jc w:val="left"/>
            </w:pPr>
            <w:r>
              <w:rPr>
                <w:rFonts w:ascii="Times New Roman" w:hAnsi="Times New Roman" w:eastAsia="宋体"/>
                <w:b w:val="0"/>
                <w:i w:val="0"/>
                <w:color w:val="000000"/>
                <w:sz w:val="20"/>
              </w:rPr>
              <w:t>GlanceSeg (2023)</w:t>
            </w:r>
          </w:p>
        </w:tc>
        <w:tc>
          <w:tcPr>
            <w:tcW w:w="1728" w:type="dxa"/>
            <w:shd w:val="clear" w:color="auto" w:fill="FAFAFA"/>
            <w:tcMar>
              <w:top w:w="100" w:type="dxa"/>
              <w:left w:w="140" w:type="dxa"/>
              <w:bottom w:w="100" w:type="dxa"/>
              <w:right w:w="140" w:type="dxa"/>
            </w:tcMar>
          </w:tcPr>
          <w:p w14:paraId="2605A7F2">
            <w:pPr>
              <w:jc w:val="left"/>
            </w:pPr>
            <w:r>
              <w:rPr>
                <w:rFonts w:ascii="Times New Roman" w:hAnsi="Times New Roman" w:eastAsia="宋体"/>
                <w:b w:val="0"/>
                <w:i w:val="0"/>
                <w:color w:val="000000"/>
                <w:sz w:val="20"/>
              </w:rPr>
              <w:t>外部解剖强先验融合</w:t>
            </w:r>
          </w:p>
        </w:tc>
        <w:tc>
          <w:tcPr>
            <w:tcW w:w="1728" w:type="dxa"/>
            <w:shd w:val="clear" w:color="auto" w:fill="FAFAFA"/>
            <w:tcMar>
              <w:top w:w="100" w:type="dxa"/>
              <w:left w:w="140" w:type="dxa"/>
              <w:bottom w:w="100" w:type="dxa"/>
              <w:right w:w="140" w:type="dxa"/>
            </w:tcMar>
          </w:tcPr>
          <w:p w14:paraId="57C65E59">
            <w:pPr>
              <w:jc w:val="center"/>
            </w:pPr>
            <w:r>
              <w:rPr>
                <w:rFonts w:ascii="Times New Roman" w:hAnsi="Times New Roman" w:eastAsia="宋体"/>
                <w:b w:val="0"/>
                <w:i w:val="0"/>
                <w:color w:val="000000"/>
                <w:sz w:val="20"/>
              </w:rPr>
              <w:t>52.1%</w:t>
            </w:r>
          </w:p>
        </w:tc>
        <w:tc>
          <w:tcPr>
            <w:tcW w:w="1728" w:type="dxa"/>
            <w:shd w:val="clear" w:color="auto" w:fill="FAFAFA"/>
            <w:tcMar>
              <w:top w:w="100" w:type="dxa"/>
              <w:left w:w="140" w:type="dxa"/>
              <w:bottom w:w="100" w:type="dxa"/>
              <w:right w:w="140" w:type="dxa"/>
            </w:tcMar>
          </w:tcPr>
          <w:p w14:paraId="7CA6B07A">
            <w:pPr>
              <w:jc w:val="center"/>
            </w:pPr>
            <w:r>
              <w:rPr>
                <w:rFonts w:ascii="Times New Roman" w:hAnsi="Times New Roman" w:eastAsia="宋体"/>
                <w:b w:val="0"/>
                <w:i w:val="0"/>
                <w:color w:val="000000"/>
                <w:sz w:val="20"/>
              </w:rPr>
              <w:t>-</w:t>
            </w:r>
          </w:p>
        </w:tc>
        <w:tc>
          <w:tcPr>
            <w:tcW w:w="1728" w:type="dxa"/>
            <w:shd w:val="clear" w:color="auto" w:fill="FAFAFA"/>
            <w:tcMar>
              <w:top w:w="100" w:type="dxa"/>
              <w:left w:w="140" w:type="dxa"/>
              <w:bottom w:w="100" w:type="dxa"/>
              <w:right w:w="140" w:type="dxa"/>
            </w:tcMar>
          </w:tcPr>
          <w:p w14:paraId="3A7E5138">
            <w:pPr>
              <w:jc w:val="left"/>
            </w:pPr>
            <w:r>
              <w:rPr>
                <w:rFonts w:ascii="Times New Roman" w:hAnsi="Times New Roman" w:eastAsia="宋体"/>
                <w:b w:val="0"/>
                <w:i w:val="0"/>
                <w:color w:val="000000"/>
                <w:sz w:val="20"/>
              </w:rPr>
              <w:t>创造性将人类医生的眼动注视轨迹转化为空间注意力 Prompt，MA 分割精度高，但严重依赖外部硬件。</w:t>
            </w:r>
          </w:p>
        </w:tc>
      </w:tr>
    </w:tbl>
    <w:p w14:paraId="7193B4F1">
      <w:pPr>
        <w:spacing w:before="0" w:after="0" w:line="240" w:lineRule="auto"/>
        <w:jc w:val="both"/>
      </w:pPr>
    </w:p>
    <w:p w14:paraId="1E02D87D">
      <w:pPr>
        <w:keepNext/>
        <w:spacing w:before="240" w:after="240"/>
        <w:jc w:val="both"/>
      </w:pPr>
      <w:r>
        <w:rPr>
          <w:rFonts w:ascii="Times New Roman" w:hAnsi="Times New Roman" w:eastAsia="宋体"/>
          <w:b/>
          <w:i w:val="0"/>
          <w:color w:val="000000"/>
          <w:sz w:val="32"/>
        </w:rPr>
        <w:t>b) 存在的问题与瓶颈剖析</w:t>
      </w:r>
    </w:p>
    <w:p w14:paraId="7157556F">
      <w:pPr>
        <w:keepNext/>
        <w:spacing w:before="240" w:after="120"/>
        <w:jc w:val="both"/>
      </w:pPr>
      <w:r>
        <w:rPr>
          <w:rFonts w:ascii="Times New Roman" w:hAnsi="Times New Roman" w:eastAsia="宋体"/>
          <w:b/>
          <w:i w:val="0"/>
          <w:color w:val="000000"/>
          <w:sz w:val="28"/>
        </w:rPr>
        <w:t>1. 基础大模型应用至视网膜领域的跨域适配鸿沟与空间塌陷</w:t>
      </w:r>
    </w:p>
    <w:p w14:paraId="2136A4F4">
      <w:pPr>
        <w:spacing w:after="120" w:line="360" w:lineRule="auto"/>
        <w:ind w:firstLine="475"/>
        <w:jc w:val="both"/>
      </w:pPr>
      <w:r>
        <w:rPr>
          <w:rFonts w:ascii="Times New Roman" w:hAnsi="Times New Roman" w:eastAsia="宋体"/>
          <w:b w:val="0"/>
          <w:i w:val="0"/>
          <w:color w:val="000000"/>
          <w:sz w:val="24"/>
        </w:rPr>
        <w:t>大模型迁移至视网膜病变任务时面临显著的特征空间失配障碍。 SAM 原始训练集 SA-1B 全部来源于自然场景。 在自然图像中，被分割实体（如车辆、人、日用品）通常具备极高的色彩对比度、明确的物理空间排他性以及闭合连贯的几何外边界。 然而，眼底彩色照片中的硬性渗出或软性渗出，本质上是由于微血管破损引发的类脂质或蛋白质渐变渗漏，在光学屏上表现为边界极度模糊、厚度不一的半透明渐变区域。 这类具备极高灰度不确定性的非实体病灶不具备清晰的强梯度边缘，从而导致大模型原本强悍的边界割裂本领在跨域面对眼底病理特征时发生严重的过分割或定位漂移。</w:t>
      </w:r>
    </w:p>
    <w:p w14:paraId="529E482B">
      <w:pPr>
        <w:spacing w:after="120" w:line="360" w:lineRule="auto"/>
        <w:ind w:firstLine="475"/>
        <w:jc w:val="both"/>
      </w:pPr>
      <w:r>
        <w:rPr>
          <w:rFonts w:ascii="Times New Roman" w:hAnsi="Times New Roman" w:eastAsia="宋体"/>
          <w:b w:val="0"/>
          <w:i w:val="0"/>
          <w:color w:val="000000"/>
          <w:sz w:val="24"/>
        </w:rPr>
        <w:t>更为严峻的是，SAM 的核心图像编码器采用大尺度 Vision Transformer (ViT)。 在前向传播的第一步，ViT 会将输入的大图划分为固定尺寸的方形块（Patch Projection，如 16x16 像素）。 在超高分辨率的眼底大图中，早期标志物微动脉瘤（MA）通常仅仅占据 3x3 到 5x5 的零星像素格。 这就意味着，在自注意力的层层重采样与全局信息聚合过程中，这些局部微小的极高频病理梯度特征会被庞大的自注意力权重彻底平滑抹杀。这种物理机制缺陷引发了特征空间的“隐式空间坍塌（Spatial Feature Collapse）”，这也是当前所有医疗大模型流派面对极小斑点病灶时漏诊率居高不下的数学底层成因。</w:t>
      </w:r>
    </w:p>
    <w:p w14:paraId="0E7DDE65">
      <w:pPr>
        <w:keepNext/>
        <w:spacing w:before="240" w:after="120"/>
        <w:jc w:val="both"/>
      </w:pPr>
      <w:r>
        <w:rPr>
          <w:rFonts w:ascii="Times New Roman" w:hAnsi="Times New Roman" w:eastAsia="宋体"/>
          <w:b/>
          <w:i w:val="0"/>
          <w:color w:val="000000"/>
          <w:sz w:val="28"/>
        </w:rPr>
        <w:t>2. 密集散在多发病灶场景下 Prompt 交互成本的临床失效悖论</w:t>
      </w:r>
    </w:p>
    <w:p w14:paraId="5950322A">
      <w:pPr>
        <w:spacing w:after="120" w:line="360" w:lineRule="auto"/>
        <w:ind w:firstLine="475"/>
        <w:jc w:val="both"/>
      </w:pPr>
      <w:r>
        <w:rPr>
          <w:rFonts w:ascii="Times New Roman" w:hAnsi="Times New Roman" w:eastAsia="宋体"/>
          <w:b w:val="0"/>
          <w:i w:val="0"/>
          <w:color w:val="000000"/>
          <w:sz w:val="24"/>
        </w:rPr>
        <w:t>SAM 的交互架构设计高度契合“人工引导提示（Human-in-the-loop）”的工作流。然而，这一在自然场景下表现卓越的特性，在眼底彩照临床实际业务部署中遭遇了根本性的“失效悖论”。 中晚期糖尿病视网膜病变患者的单张底片中，往往伴随着数目惊人的、密集交织或散在全图的细小出血斑、硬渗斑。 如果要求前线临床医生在诊断前，必须依靠鼠标或多点点选（Point Prompt）或逐一精确手画数十甚至上百个疑似包围框（Bbox Prompt）来引导大模型工作，其引入的人工交互耗时与视疲劳成本将远远超越专业眼科医生肉眼直接阅片本身。 这种极其沉重的人工点击枷锁，直接否定了原始基础模型在密集小目标医疗场景下的自动化吞吐潜力。因此，如何彻底剔除人工提示，构建完全无感无交互的自动 Prompt 生成模块，是目前大模型迈向眼底临床落地的最核心工程山头。</w:t>
      </w:r>
    </w:p>
    <w:p w14:paraId="31F3FEB0">
      <w:pPr>
        <w:keepNext/>
        <w:spacing w:before="240" w:after="120"/>
        <w:jc w:val="both"/>
      </w:pPr>
      <w:r>
        <w:rPr>
          <w:rFonts w:ascii="Times New Roman" w:hAnsi="Times New Roman" w:eastAsia="宋体"/>
          <w:b/>
          <w:i w:val="0"/>
          <w:color w:val="000000"/>
          <w:sz w:val="28"/>
        </w:rPr>
        <w:t>3. 物理退化对大模型高维特征提取的系统级干扰</w:t>
      </w:r>
    </w:p>
    <w:p w14:paraId="4C3441DE">
      <w:pPr>
        <w:spacing w:after="120" w:line="360" w:lineRule="auto"/>
        <w:ind w:firstLine="475"/>
        <w:jc w:val="both"/>
      </w:pPr>
      <w:r>
        <w:rPr>
          <w:rFonts w:ascii="Times New Roman" w:hAnsi="Times New Roman" w:eastAsia="宋体"/>
          <w:b w:val="0"/>
          <w:i w:val="0"/>
          <w:color w:val="000000"/>
          <w:sz w:val="24"/>
        </w:rPr>
        <w:t>在基层医疗早筛的实际场景中，采集到的彩色 fundus 底片往往面临由于硬件、光学介质及患者病理引发的复杂退化噪声：例如荧光照相机固有的周边视网膜照度衰减和边缘伪影（Vignetting）、高龄白内障患者常见的晶状体浑浊带来的全局对比度失衡与低频模糊（Blurring）。 前沿图像增强与恢复综述（Chin et al., 2025）深刻指出，这类低质量图像（Low-Quality Images）所携带的复合噪声会引发高维空间特征分布的剧烈偏移（Domain Shift）。 由于大模型的掩码解码层对底层物理梯度极其敏感，这种成像质量退化会直接破坏浅层特征中的对比度梯度。当微小血管瘤的微弱边界与被照度衰减、浑浊噪声覆盖的背景视网膜组织融为一体时，自注意力网络极易发生大面积误判，将血管正常分叉误判定为出血点（假阳性过分割），或者由于灰度差异过小而完全忽略（假阴性漏诊），极大限制了临床自动化筛查的特异度表现。</w:t>
      </w:r>
    </w:p>
    <w:p w14:paraId="3E673683">
      <w:pPr>
        <w:keepNext/>
        <w:spacing w:before="240" w:after="120"/>
        <w:jc w:val="both"/>
      </w:pPr>
      <w:r>
        <w:rPr>
          <w:rFonts w:ascii="Times New Roman" w:hAnsi="Times New Roman" w:eastAsia="宋体"/>
          <w:b/>
          <w:i w:val="0"/>
          <w:color w:val="000000"/>
          <w:sz w:val="28"/>
        </w:rPr>
        <w:t>4. 跨领域细长/微小物体检测的学术启示与迁移可行性反思</w:t>
      </w:r>
    </w:p>
    <w:p w14:paraId="652D0E0A">
      <w:pPr>
        <w:spacing w:after="120" w:line="360" w:lineRule="auto"/>
        <w:ind w:firstLine="475"/>
        <w:jc w:val="both"/>
      </w:pPr>
      <w:r>
        <w:rPr>
          <w:rFonts w:ascii="Times New Roman" w:hAnsi="Times New Roman" w:eastAsia="宋体"/>
          <w:b w:val="0"/>
          <w:i w:val="0"/>
          <w:color w:val="000000"/>
          <w:sz w:val="24"/>
        </w:rPr>
        <w:t xml:space="preserve">在路面工业裂缝检测、遥感道路边缘提取、以及医学管状血管分割等跨领域下游任务中，针对边界模糊和长依赖细长结构的追踪，目前已有较为成熟的拓扑感知约束方案，例如被广泛采用的中心线耦合连续性损失（Topology-preserving Loss, 如 clDice）。 然而，经过严谨的解剖拓扑结构比照，我们发现：眼底彩色照片中的视网膜血管网完全可以用 clDice 进行中心线连通性约束；但 DR 相关的硬/软性渗出物、微动脉瘤和点状出血，在解剖学本质上属于**完全孤立散在、互不连通的离散团块或斑点**，其空间排布不具备任何“管状网络连续拓扑”或“中心骨架信息”。 因此，在眼底病变分割任务中盲目迁移 clDice 或拓扑连续损失的可行性极低，甚至会引入错误的梯度误导。 </w:t>
      </w:r>
    </w:p>
    <w:p w14:paraId="0C522883">
      <w:pPr>
        <w:spacing w:after="120" w:line="360" w:lineRule="auto"/>
        <w:ind w:firstLine="475"/>
        <w:jc w:val="both"/>
      </w:pPr>
      <w:r>
        <w:rPr>
          <w:rFonts w:ascii="Times New Roman" w:hAnsi="Times New Roman" w:eastAsia="宋体"/>
          <w:b w:val="0"/>
          <w:i w:val="0"/>
          <w:color w:val="000000"/>
          <w:sz w:val="24"/>
        </w:rPr>
        <w:t>相反，目标检测与自动驾驶领域为了应对复杂几何退化而开发的“可形变注意力卷积（Deformable Convolutions）”具备极高的迁移借鉴价值。 该机制允许网络摆脱 Transformer 固定的方形、矩形网格感受野限制，通过自主学习空间顶点的几何偏移量来弹性调整感受野几何形态。这种动态边界拟合本领能够完美迁移至眼底图像中，使网络在反向传播时自适应包裹边缘轮廓模糊、极不规则的渐变渗出斑块，为攻克特征塌陷提供了一条更具韧性的学术路径。下表2 进一步对本研究梳理的核心问题与潜在技术解法进行了系统对照：</w:t>
      </w:r>
    </w:p>
    <w:p w14:paraId="26719CAB">
      <w:pPr>
        <w:keepNext/>
        <w:spacing w:before="240" w:after="80"/>
        <w:jc w:val="both"/>
      </w:pPr>
      <w:r>
        <w:rPr>
          <w:rFonts w:ascii="Times New Roman" w:hAnsi="Times New Roman" w:eastAsia="宋体"/>
          <w:b/>
          <w:i w:val="0"/>
          <w:color w:val="000000"/>
          <w:sz w:val="21"/>
        </w:rPr>
        <w:t>表2 眼底病变分割核心瓶颈痛点与跨领域技术解法对照矩阵</w:t>
      </w:r>
    </w:p>
    <w:tbl>
      <w:tblPr>
        <w:tblStyle w:val="32"/>
        <w:tblW w:w="0" w:type="auto"/>
        <w:jc w:val="center"/>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Layout w:type="autofit"/>
        <w:tblCellMar>
          <w:top w:w="0" w:type="dxa"/>
          <w:left w:w="108" w:type="dxa"/>
          <w:bottom w:w="0" w:type="dxa"/>
          <w:right w:w="108" w:type="dxa"/>
        </w:tblCellMar>
      </w:tblPr>
      <w:tblGrid>
        <w:gridCol w:w="2160"/>
        <w:gridCol w:w="2160"/>
        <w:gridCol w:w="2160"/>
        <w:gridCol w:w="2160"/>
      </w:tblGrid>
      <w:tr w14:paraId="59146AF7">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2160" w:type="dxa"/>
            <w:shd w:val="clear" w:color="auto" w:fill="EFEFEF"/>
            <w:tcMar>
              <w:top w:w="120" w:type="dxa"/>
              <w:left w:w="140" w:type="dxa"/>
              <w:bottom w:w="120" w:type="dxa"/>
              <w:right w:w="140" w:type="dxa"/>
            </w:tcMar>
          </w:tcPr>
          <w:p w14:paraId="73E7638F">
            <w:pPr>
              <w:jc w:val="center"/>
            </w:pPr>
            <w:r>
              <w:rPr>
                <w:rFonts w:ascii="Times New Roman" w:hAnsi="Times New Roman" w:eastAsia="宋体"/>
                <w:b/>
                <w:i w:val="0"/>
                <w:color w:val="000000"/>
                <w:sz w:val="21"/>
              </w:rPr>
              <w:t>核心瓶颈痛点</w:t>
            </w:r>
          </w:p>
        </w:tc>
        <w:tc>
          <w:tcPr>
            <w:tcW w:w="2160" w:type="dxa"/>
            <w:shd w:val="clear" w:color="auto" w:fill="EFEFEF"/>
            <w:tcMar>
              <w:top w:w="120" w:type="dxa"/>
              <w:left w:w="140" w:type="dxa"/>
              <w:bottom w:w="120" w:type="dxa"/>
              <w:right w:w="140" w:type="dxa"/>
            </w:tcMar>
          </w:tcPr>
          <w:p w14:paraId="2532DB4C">
            <w:pPr>
              <w:jc w:val="center"/>
            </w:pPr>
            <w:r>
              <w:rPr>
                <w:rFonts w:ascii="Times New Roman" w:hAnsi="Times New Roman" w:eastAsia="宋体"/>
                <w:b/>
                <w:i w:val="0"/>
                <w:color w:val="000000"/>
                <w:sz w:val="21"/>
              </w:rPr>
              <w:t>在眼底大模型中的具体病理表现</w:t>
            </w:r>
          </w:p>
        </w:tc>
        <w:tc>
          <w:tcPr>
            <w:tcW w:w="2160" w:type="dxa"/>
            <w:shd w:val="clear" w:color="auto" w:fill="EFEFEF"/>
            <w:tcMar>
              <w:top w:w="120" w:type="dxa"/>
              <w:left w:w="140" w:type="dxa"/>
              <w:bottom w:w="120" w:type="dxa"/>
              <w:right w:w="140" w:type="dxa"/>
            </w:tcMar>
          </w:tcPr>
          <w:p w14:paraId="1C4FC69C">
            <w:pPr>
              <w:jc w:val="center"/>
            </w:pPr>
            <w:r>
              <w:rPr>
                <w:rFonts w:ascii="Times New Roman" w:hAnsi="Times New Roman" w:eastAsia="宋体"/>
                <w:b/>
                <w:i w:val="0"/>
                <w:color w:val="000000"/>
                <w:sz w:val="21"/>
              </w:rPr>
              <w:t>跨领域借鉴机制与可行性评判</w:t>
            </w:r>
          </w:p>
        </w:tc>
        <w:tc>
          <w:tcPr>
            <w:tcW w:w="2160" w:type="dxa"/>
            <w:shd w:val="clear" w:color="auto" w:fill="EFEFEF"/>
            <w:tcMar>
              <w:top w:w="120" w:type="dxa"/>
              <w:left w:w="140" w:type="dxa"/>
              <w:bottom w:w="120" w:type="dxa"/>
              <w:right w:w="140" w:type="dxa"/>
            </w:tcMar>
          </w:tcPr>
          <w:p w14:paraId="20B79D44">
            <w:pPr>
              <w:jc w:val="center"/>
            </w:pPr>
            <w:r>
              <w:rPr>
                <w:rFonts w:ascii="Times New Roman" w:hAnsi="Times New Roman" w:eastAsia="宋体"/>
                <w:b/>
                <w:i w:val="0"/>
                <w:color w:val="000000"/>
                <w:sz w:val="21"/>
              </w:rPr>
              <w:t>预期学术/工程改进成益</w:t>
            </w:r>
          </w:p>
        </w:tc>
      </w:tr>
      <w:tr w14:paraId="5D1610BB">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100" w:type="dxa"/>
              <w:left w:w="140" w:type="dxa"/>
              <w:bottom w:w="100" w:type="dxa"/>
              <w:right w:w="140" w:type="dxa"/>
            </w:tcMar>
          </w:tcPr>
          <w:p w14:paraId="1169F8DC">
            <w:pPr>
              <w:jc w:val="left"/>
            </w:pPr>
            <w:r>
              <w:rPr>
                <w:rFonts w:ascii="Times New Roman" w:hAnsi="Times New Roman" w:eastAsia="宋体"/>
                <w:b w:val="0"/>
                <w:i w:val="0"/>
                <w:color w:val="000000"/>
                <w:sz w:val="20"/>
              </w:rPr>
              <w:t>空间特征塌陷</w:t>
            </w:r>
          </w:p>
        </w:tc>
        <w:tc>
          <w:tcPr>
            <w:tcW w:w="2160" w:type="dxa"/>
            <w:shd w:val="clear" w:color="auto" w:fill="FFFFFF"/>
            <w:tcMar>
              <w:top w:w="100" w:type="dxa"/>
              <w:left w:w="140" w:type="dxa"/>
              <w:bottom w:w="100" w:type="dxa"/>
              <w:right w:w="140" w:type="dxa"/>
            </w:tcMar>
          </w:tcPr>
          <w:p w14:paraId="39629527">
            <w:pPr>
              <w:jc w:val="left"/>
            </w:pPr>
            <w:r>
              <w:rPr>
                <w:rFonts w:ascii="Times New Roman" w:hAnsi="Times New Roman" w:eastAsia="宋体"/>
                <w:b w:val="0"/>
                <w:i w:val="0"/>
                <w:color w:val="000000"/>
                <w:sz w:val="20"/>
              </w:rPr>
              <w:t>微动脉瘤 (MA) 尺寸仅占数像素，在 ViT 固定 16x16 Patch 划分和全局信息平滑中被彻底抹杀。</w:t>
            </w:r>
          </w:p>
        </w:tc>
        <w:tc>
          <w:tcPr>
            <w:tcW w:w="2160" w:type="dxa"/>
            <w:shd w:val="clear" w:color="auto" w:fill="FFFFFF"/>
            <w:tcMar>
              <w:top w:w="100" w:type="dxa"/>
              <w:left w:w="140" w:type="dxa"/>
              <w:bottom w:w="100" w:type="dxa"/>
              <w:right w:w="140" w:type="dxa"/>
            </w:tcMar>
          </w:tcPr>
          <w:p w14:paraId="1BB65B69">
            <w:pPr>
              <w:jc w:val="left"/>
            </w:pPr>
            <w:r>
              <w:rPr>
                <w:rFonts w:ascii="Times New Roman" w:hAnsi="Times New Roman" w:eastAsia="宋体"/>
                <w:b w:val="0"/>
                <w:i w:val="0"/>
                <w:color w:val="000000"/>
                <w:sz w:val="20"/>
              </w:rPr>
              <w:t>引入目标检测中的几何可形变注意力卷积 (Deformable Conv)；可行性：极高。打破固定方形网格，自适应收缩感受野。</w:t>
            </w:r>
          </w:p>
        </w:tc>
        <w:tc>
          <w:tcPr>
            <w:tcW w:w="2160" w:type="dxa"/>
            <w:shd w:val="clear" w:color="auto" w:fill="FFFFFF"/>
            <w:tcMar>
              <w:top w:w="100" w:type="dxa"/>
              <w:left w:w="140" w:type="dxa"/>
              <w:bottom w:w="100" w:type="dxa"/>
              <w:right w:w="140" w:type="dxa"/>
            </w:tcMar>
          </w:tcPr>
          <w:p w14:paraId="085CA25A">
            <w:pPr>
              <w:jc w:val="left"/>
            </w:pPr>
            <w:r>
              <w:rPr>
                <w:rFonts w:ascii="Times New Roman" w:hAnsi="Times New Roman" w:eastAsia="宋体"/>
                <w:b w:val="0"/>
                <w:i w:val="0"/>
                <w:color w:val="000000"/>
                <w:sz w:val="20"/>
              </w:rPr>
              <w:t>强力遏制极小斑点在骨架下采样过程中的高频特征丢失，提升小目标 Dice 水平。</w:t>
            </w:r>
          </w:p>
        </w:tc>
      </w:tr>
      <w:tr w14:paraId="08717F8E">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2160" w:type="dxa"/>
            <w:shd w:val="clear" w:color="auto" w:fill="FAFAFA"/>
            <w:tcMar>
              <w:top w:w="100" w:type="dxa"/>
              <w:left w:w="140" w:type="dxa"/>
              <w:bottom w:w="100" w:type="dxa"/>
              <w:right w:w="140" w:type="dxa"/>
            </w:tcMar>
          </w:tcPr>
          <w:p w14:paraId="72836539">
            <w:pPr>
              <w:jc w:val="left"/>
            </w:pPr>
            <w:r>
              <w:rPr>
                <w:rFonts w:ascii="Times New Roman" w:hAnsi="Times New Roman" w:eastAsia="宋体"/>
                <w:b w:val="0"/>
                <w:i w:val="0"/>
                <w:color w:val="000000"/>
                <w:sz w:val="20"/>
              </w:rPr>
              <w:t>提示交互锁链</w:t>
            </w:r>
          </w:p>
        </w:tc>
        <w:tc>
          <w:tcPr>
            <w:tcW w:w="2160" w:type="dxa"/>
            <w:shd w:val="clear" w:color="auto" w:fill="FAFAFA"/>
            <w:tcMar>
              <w:top w:w="100" w:type="dxa"/>
              <w:left w:w="140" w:type="dxa"/>
              <w:bottom w:w="100" w:type="dxa"/>
              <w:right w:w="140" w:type="dxa"/>
            </w:tcMar>
          </w:tcPr>
          <w:p w14:paraId="41BEA8EE">
            <w:pPr>
              <w:jc w:val="left"/>
            </w:pPr>
            <w:r>
              <w:rPr>
                <w:rFonts w:ascii="Times New Roman" w:hAnsi="Times New Roman" w:eastAsia="宋体"/>
                <w:b w:val="0"/>
                <w:i w:val="0"/>
                <w:color w:val="000000"/>
                <w:sz w:val="20"/>
              </w:rPr>
              <w:t>中晚期 DR 病灶散在密集（多达数百个），医生手工进行 Point/Bbox 点击的操作耗时与视疲劳成本极高，临床无法部署。</w:t>
            </w:r>
          </w:p>
        </w:tc>
        <w:tc>
          <w:tcPr>
            <w:tcW w:w="2160" w:type="dxa"/>
            <w:shd w:val="clear" w:color="auto" w:fill="FAFAFA"/>
            <w:tcMar>
              <w:top w:w="100" w:type="dxa"/>
              <w:left w:w="140" w:type="dxa"/>
              <w:bottom w:w="100" w:type="dxa"/>
              <w:right w:w="140" w:type="dxa"/>
            </w:tcMar>
          </w:tcPr>
          <w:p w14:paraId="2A97A9DD">
            <w:pPr>
              <w:jc w:val="left"/>
            </w:pPr>
            <w:r>
              <w:rPr>
                <w:rFonts w:ascii="Times New Roman" w:hAnsi="Times New Roman" w:eastAsia="宋体"/>
                <w:b w:val="0"/>
                <w:i w:val="0"/>
                <w:color w:val="000000"/>
                <w:sz w:val="20"/>
              </w:rPr>
              <w:t>构建基于浅中层高对比特征的轻量化区域定位提议头 (RPN Head)；可行性：高。实现在线自动生成框。</w:t>
            </w:r>
          </w:p>
        </w:tc>
        <w:tc>
          <w:tcPr>
            <w:tcW w:w="2160" w:type="dxa"/>
            <w:shd w:val="clear" w:color="auto" w:fill="FAFAFA"/>
            <w:tcMar>
              <w:top w:w="100" w:type="dxa"/>
              <w:left w:w="140" w:type="dxa"/>
              <w:bottom w:w="100" w:type="dxa"/>
              <w:right w:w="140" w:type="dxa"/>
            </w:tcMar>
          </w:tcPr>
          <w:p w14:paraId="224660BD">
            <w:pPr>
              <w:jc w:val="left"/>
            </w:pPr>
            <w:r>
              <w:rPr>
                <w:rFonts w:ascii="Times New Roman" w:hAnsi="Times New Roman" w:eastAsia="宋体"/>
                <w:b w:val="0"/>
                <w:i w:val="0"/>
                <w:color w:val="000000"/>
                <w:sz w:val="20"/>
              </w:rPr>
              <w:t>彻底剔除人工手动干预输入，将交互式大模型无缝转化为全自动、高吞吐的临床端到端流水线。</w:t>
            </w:r>
          </w:p>
        </w:tc>
      </w:tr>
      <w:tr w14:paraId="305CC598">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2160" w:type="dxa"/>
            <w:shd w:val="clear" w:color="auto" w:fill="FFFFFF"/>
            <w:tcMar>
              <w:top w:w="100" w:type="dxa"/>
              <w:left w:w="140" w:type="dxa"/>
              <w:bottom w:w="100" w:type="dxa"/>
              <w:right w:w="140" w:type="dxa"/>
            </w:tcMar>
          </w:tcPr>
          <w:p w14:paraId="6EB235D5">
            <w:pPr>
              <w:jc w:val="left"/>
            </w:pPr>
            <w:r>
              <w:rPr>
                <w:rFonts w:ascii="Times New Roman" w:hAnsi="Times New Roman" w:eastAsia="宋体"/>
                <w:b w:val="0"/>
                <w:i w:val="0"/>
                <w:color w:val="000000"/>
                <w:sz w:val="20"/>
              </w:rPr>
              <w:t>成像物理退化</w:t>
            </w:r>
          </w:p>
        </w:tc>
        <w:tc>
          <w:tcPr>
            <w:tcW w:w="2160" w:type="dxa"/>
            <w:shd w:val="clear" w:color="auto" w:fill="FFFFFF"/>
            <w:tcMar>
              <w:top w:w="100" w:type="dxa"/>
              <w:left w:w="140" w:type="dxa"/>
              <w:bottom w:w="100" w:type="dxa"/>
              <w:right w:w="140" w:type="dxa"/>
            </w:tcMar>
          </w:tcPr>
          <w:p w14:paraId="633DEB7E">
            <w:pPr>
              <w:jc w:val="left"/>
            </w:pPr>
            <w:r>
              <w:rPr>
                <w:rFonts w:ascii="Times New Roman" w:hAnsi="Times New Roman" w:eastAsia="宋体"/>
                <w:b w:val="0"/>
                <w:i w:val="0"/>
                <w:color w:val="000000"/>
                <w:sz w:val="20"/>
              </w:rPr>
              <w:t>白内障介质浑浊导致的模糊、照度不均引起的低对比度，导致病灶边界梯度极度微弱甚至丢失。</w:t>
            </w:r>
          </w:p>
        </w:tc>
        <w:tc>
          <w:tcPr>
            <w:tcW w:w="2160" w:type="dxa"/>
            <w:shd w:val="clear" w:color="auto" w:fill="FFFFFF"/>
            <w:tcMar>
              <w:top w:w="100" w:type="dxa"/>
              <w:left w:w="140" w:type="dxa"/>
              <w:bottom w:w="100" w:type="dxa"/>
              <w:right w:w="140" w:type="dxa"/>
            </w:tcMar>
          </w:tcPr>
          <w:p w14:paraId="28F1CB8E">
            <w:pPr>
              <w:jc w:val="left"/>
            </w:pPr>
            <w:r>
              <w:rPr>
                <w:rFonts w:ascii="Times New Roman" w:hAnsi="Times New Roman" w:eastAsia="宋体"/>
                <w:b w:val="0"/>
                <w:i w:val="0"/>
                <w:color w:val="000000"/>
                <w:sz w:val="20"/>
              </w:rPr>
              <w:t>并联基于矢量量化高质码本字典 (VQ Codebook Bank) 的潜在增强恢复支路；可行性：高。补偿连续先验空间。</w:t>
            </w:r>
          </w:p>
        </w:tc>
        <w:tc>
          <w:tcPr>
            <w:tcW w:w="2160" w:type="dxa"/>
            <w:shd w:val="clear" w:color="auto" w:fill="FFFFFF"/>
            <w:tcMar>
              <w:top w:w="100" w:type="dxa"/>
              <w:left w:w="140" w:type="dxa"/>
              <w:bottom w:w="100" w:type="dxa"/>
              <w:right w:w="140" w:type="dxa"/>
            </w:tcMar>
          </w:tcPr>
          <w:p w14:paraId="64ECCBAC">
            <w:pPr>
              <w:jc w:val="left"/>
            </w:pPr>
            <w:r>
              <w:rPr>
                <w:rFonts w:ascii="Times New Roman" w:hAnsi="Times New Roman" w:eastAsia="宋体"/>
                <w:b w:val="0"/>
                <w:i w:val="0"/>
                <w:color w:val="000000"/>
                <w:sz w:val="20"/>
              </w:rPr>
              <w:t>有效对冲环境和设备引入的域偏移噪声，增强模糊边界的灰度对比，大幅降低漏诊率。</w:t>
            </w:r>
          </w:p>
        </w:tc>
      </w:tr>
      <w:tr w14:paraId="28338A63">
        <w:tblPrEx>
          <w:tblBorders>
            <w:top w:val="single" w:color="000000" w:sz="12" w:space="0"/>
            <w:left w:val="none" w:color="auto" w:sz="0" w:space="0"/>
            <w:bottom w:val="single" w:color="000000" w:sz="12" w:space="0"/>
            <w:right w:val="none" w:color="auto" w:sz="0" w:space="0"/>
            <w:insideH w:val="single" w:color="A0A0A0" w:sz="4" w:space="0"/>
            <w:insideV w:val="none" w:color="auto" w:sz="0" w:space="0"/>
          </w:tblBorders>
          <w:tblCellMar>
            <w:top w:w="0" w:type="dxa"/>
            <w:left w:w="108" w:type="dxa"/>
            <w:bottom w:w="0" w:type="dxa"/>
            <w:right w:w="108" w:type="dxa"/>
          </w:tblCellMar>
        </w:tblPrEx>
        <w:trPr>
          <w:jc w:val="center"/>
        </w:trPr>
        <w:tc>
          <w:tcPr>
            <w:tcW w:w="2160" w:type="dxa"/>
            <w:shd w:val="clear" w:color="auto" w:fill="FAFAFA"/>
            <w:tcMar>
              <w:top w:w="100" w:type="dxa"/>
              <w:left w:w="140" w:type="dxa"/>
              <w:bottom w:w="100" w:type="dxa"/>
              <w:right w:w="140" w:type="dxa"/>
            </w:tcMar>
          </w:tcPr>
          <w:p w14:paraId="23FB1D44">
            <w:pPr>
              <w:jc w:val="left"/>
            </w:pPr>
            <w:r>
              <w:rPr>
                <w:rFonts w:ascii="Times New Roman" w:hAnsi="Times New Roman" w:eastAsia="宋体"/>
                <w:b w:val="0"/>
                <w:i w:val="0"/>
                <w:color w:val="000000"/>
                <w:sz w:val="20"/>
              </w:rPr>
              <w:t>形状曲折渐变</w:t>
            </w:r>
          </w:p>
        </w:tc>
        <w:tc>
          <w:tcPr>
            <w:tcW w:w="2160" w:type="dxa"/>
            <w:shd w:val="clear" w:color="auto" w:fill="FAFAFA"/>
            <w:tcMar>
              <w:top w:w="100" w:type="dxa"/>
              <w:left w:w="140" w:type="dxa"/>
              <w:bottom w:w="100" w:type="dxa"/>
              <w:right w:w="140" w:type="dxa"/>
            </w:tcMar>
          </w:tcPr>
          <w:p w14:paraId="24543877">
            <w:pPr>
              <w:jc w:val="left"/>
            </w:pPr>
            <w:r>
              <w:rPr>
                <w:rFonts w:ascii="Times New Roman" w:hAnsi="Times New Roman" w:eastAsia="宋体"/>
                <w:b w:val="0"/>
                <w:i w:val="0"/>
                <w:color w:val="000000"/>
                <w:sz w:val="20"/>
              </w:rPr>
              <w:t>软性/硬性渗出物边缘伴随半透明渗漏，无自然物体的清晰机械物理边界。</w:t>
            </w:r>
          </w:p>
        </w:tc>
        <w:tc>
          <w:tcPr>
            <w:tcW w:w="2160" w:type="dxa"/>
            <w:shd w:val="clear" w:color="auto" w:fill="FAFAFA"/>
            <w:tcMar>
              <w:top w:w="100" w:type="dxa"/>
              <w:left w:w="140" w:type="dxa"/>
              <w:bottom w:w="100" w:type="dxa"/>
              <w:right w:w="140" w:type="dxa"/>
            </w:tcMar>
          </w:tcPr>
          <w:p w14:paraId="5E211617">
            <w:pPr>
              <w:jc w:val="left"/>
            </w:pPr>
            <w:r>
              <w:rPr>
                <w:rFonts w:ascii="Times New Roman" w:hAnsi="Times New Roman" w:eastAsia="宋体"/>
                <w:b w:val="0"/>
                <w:i w:val="0"/>
                <w:color w:val="000000"/>
                <w:sz w:val="20"/>
              </w:rPr>
              <w:t>套用血管分割的拓扑骨架损失（如 clDice）；可行性：极低。病灶属于独立散在点块，完全不具备管状连续拓扑特征。</w:t>
            </w:r>
          </w:p>
        </w:tc>
        <w:tc>
          <w:tcPr>
            <w:tcW w:w="2160" w:type="dxa"/>
            <w:shd w:val="clear" w:color="auto" w:fill="FAFAFA"/>
            <w:tcMar>
              <w:top w:w="100" w:type="dxa"/>
              <w:left w:w="140" w:type="dxa"/>
              <w:bottom w:w="100" w:type="dxa"/>
              <w:right w:w="140" w:type="dxa"/>
            </w:tcMar>
          </w:tcPr>
          <w:p w14:paraId="1F679426">
            <w:pPr>
              <w:jc w:val="left"/>
            </w:pPr>
            <w:r>
              <w:rPr>
                <w:rFonts w:ascii="Times New Roman" w:hAnsi="Times New Roman" w:eastAsia="宋体"/>
                <w:b w:val="0"/>
                <w:i w:val="0"/>
                <w:color w:val="000000"/>
                <w:sz w:val="20"/>
              </w:rPr>
              <w:t>放弃无意义的拓扑骨架约束，转向多尺度通道特征级级融合与自适应对比度引导，强化渐变贴合度。</w:t>
            </w:r>
          </w:p>
        </w:tc>
      </w:tr>
    </w:tbl>
    <w:p w14:paraId="1D30F881">
      <w:pPr>
        <w:spacing w:before="0" w:after="0" w:line="240" w:lineRule="auto"/>
        <w:jc w:val="both"/>
      </w:pPr>
    </w:p>
    <w:p w14:paraId="556486AC">
      <w:pPr>
        <w:keepNext/>
        <w:spacing w:before="240" w:after="240"/>
        <w:jc w:val="both"/>
      </w:pPr>
      <w:r>
        <w:rPr>
          <w:rFonts w:ascii="Times New Roman" w:hAnsi="Times New Roman" w:eastAsia="宋体"/>
          <w:b/>
          <w:i w:val="0"/>
          <w:color w:val="000000"/>
          <w:sz w:val="32"/>
        </w:rPr>
        <w:t>d) 研究方案设计</w:t>
      </w:r>
    </w:p>
    <w:p w14:paraId="3408ECCE">
      <w:pPr>
        <w:keepNext/>
        <w:spacing w:before="240" w:after="120"/>
        <w:jc w:val="both"/>
      </w:pPr>
      <w:r>
        <w:rPr>
          <w:rFonts w:ascii="Times New Roman" w:hAnsi="Times New Roman" w:eastAsia="宋体"/>
          <w:b/>
          <w:i w:val="0"/>
          <w:color w:val="000000"/>
          <w:sz w:val="28"/>
        </w:rPr>
        <w:t>1. Baseline 选择依据与技术底座重构</w:t>
      </w:r>
    </w:p>
    <w:p w14:paraId="22728EA7">
      <w:pPr>
        <w:spacing w:after="120" w:line="360" w:lineRule="auto"/>
        <w:ind w:firstLine="475"/>
        <w:jc w:val="both"/>
      </w:pPr>
      <w:r>
        <w:rPr>
          <w:rFonts w:ascii="Times New Roman" w:hAnsi="Times New Roman" w:eastAsia="宋体"/>
          <w:b w:val="0"/>
          <w:i w:val="0"/>
          <w:color w:val="000000"/>
          <w:sz w:val="24"/>
        </w:rPr>
        <w:t>针对眼底视网膜多类别病变分割的极度复杂性，本研究严格选定以 Medical SAM Adapter (SAM-Adapter) 配合 MedSAM 的官方预训练权重作为二次优化开发的强鲁棒技术 Baseline。 选择该解耦架构作为底座的技术考量建立在算力开销与领域常识的深度平衡之上：首先，MedSAM 在超 150 万张多模态医学掩码上进行了对齐，其图像编码器初始化权重已具备了扎实的通用医疗图像基础语义先验。 其次，SAM-Adapter 采用的参数高效微调（PEFT）范式，在下游训练全生命周期中将庞大的、包含数亿参数的基础 ViT 编码器主干网络进行完全冻结（Weights Frozen），仅更新外挂的轻量感知层与解码层权重。 这一重构策略仅产生少于 2% 的梯度更新参数量，从根本上打破了重训大模型对多卡 A100 的灾难性算力天堑，使高清晰度 4K 级别的眼底彩照得以在单张 RTX 4090 实验室终端上平稳运行，同时在不丧失大模型原有全局长距离空间泛化红利的前提下，极易插入功能异构的改进插件支路。</w:t>
      </w:r>
    </w:p>
    <w:p w14:paraId="5BA16A75">
      <w:pPr>
        <w:keepNext/>
        <w:spacing w:before="240" w:after="120"/>
        <w:jc w:val="both"/>
      </w:pPr>
      <w:r>
        <w:rPr>
          <w:rFonts w:ascii="Times New Roman" w:hAnsi="Times New Roman" w:eastAsia="宋体"/>
          <w:b/>
          <w:i w:val="0"/>
          <w:color w:val="000000"/>
          <w:sz w:val="28"/>
        </w:rPr>
        <w:t>2. EA-SAM (Enhance-and-Adapt SAM) 联合演进技术框架与核心模块创新</w:t>
      </w:r>
    </w:p>
    <w:p w14:paraId="06E809A1">
      <w:pPr>
        <w:spacing w:after="120" w:line="360" w:lineRule="auto"/>
        <w:ind w:firstLine="475"/>
        <w:jc w:val="both"/>
      </w:pPr>
      <w:r>
        <w:rPr>
          <w:rFonts w:ascii="Times New Roman" w:hAnsi="Times New Roman" w:eastAsia="宋体"/>
          <w:b w:val="0"/>
          <w:i w:val="0"/>
          <w:color w:val="000000"/>
          <w:sz w:val="24"/>
        </w:rPr>
        <w:t>为了系统性攻克前述“特征塌陷、人工提示锁链、物理成像退化”三大瓶颈，本研究创新性勾勒并实现了 EA-SAM 全自动联合微调网络。 网络的整体前向流完全解耦自动化，在冻结的大模型主干周围并联构建了三个各司其职的高内聚改进模块，具体模块技术路线设计如下：</w:t>
      </w:r>
    </w:p>
    <w:p w14:paraId="441B9537">
      <w:pPr>
        <w:keepNext/>
        <w:spacing w:before="120" w:after="80"/>
        <w:jc w:val="both"/>
      </w:pPr>
      <w:r>
        <w:rPr>
          <w:rFonts w:ascii="Times New Roman" w:hAnsi="Times New Roman" w:eastAsia="宋体"/>
          <w:b/>
          <w:i w:val="0"/>
          <w:color w:val="000000"/>
          <w:sz w:val="24"/>
        </w:rPr>
        <w:t>2.1 基于 VQ 码本的高频特征增强先验注入支路 (Image Enhancement Branch)</w:t>
      </w:r>
    </w:p>
    <w:p w14:paraId="41E3FA0F">
      <w:pPr>
        <w:spacing w:after="120" w:line="360" w:lineRule="auto"/>
        <w:ind w:firstLine="475"/>
        <w:jc w:val="both"/>
      </w:pPr>
      <w:r>
        <w:rPr>
          <w:rFonts w:ascii="Times New Roman" w:hAnsi="Times New Roman" w:eastAsia="宋体"/>
          <w:b w:val="0"/>
          <w:i w:val="0"/>
          <w:color w:val="000000"/>
          <w:sz w:val="24"/>
        </w:rPr>
        <w:t>本模块旨在从根本上解决由白内障介质浑浊、周边光照不均等导致的低对比度、边缘梯度丢失问题。 技术路线：借鉴医疗全能图像恢复综述（DiffCode, 2025）的潜在高保真对齐思想，在图像输入大模型编码器之前，我们独立并联构建了一个基于非线性门控门（NAF Block）的轻量化潜在增强恢复子网。 该子网的核心引擎是一个预先在海量高质、无病变健康眼底彩照上自监督训练成熟的向量量化特征离散字典码本（VQ Codebook Bank）。 前向推理时，低质量（LQ）眼底图像特征图通过路由机制，在码本的低维离散潜在空间内进行逐像素的近邻相似度检索与替换，检索出代表健康、不退化的标准眼底解剖高频纹理与锐利边缘先验。 这一重构的高质量（HQ）特征增强先验不转换为可视化图像，而是直接通过长距离跳跃连接（Skip-connection），在通道维度（Channel-wise Concatenation）上与大模型 ViT 编码器的前两层浅层低维特征图进行直接拼接融合，强力补偿物理退化丢失的浅层高频对比度，为后续掩码边界提取提供坚实的物理梯度引导。</w:t>
      </w:r>
    </w:p>
    <w:p w14:paraId="469DAF55">
      <w:pPr>
        <w:keepNext/>
        <w:spacing w:before="120" w:after="80"/>
        <w:jc w:val="both"/>
      </w:pPr>
      <w:r>
        <w:rPr>
          <w:rFonts w:ascii="Times New Roman" w:hAnsi="Times New Roman" w:eastAsia="宋体"/>
          <w:b/>
          <w:i w:val="0"/>
          <w:color w:val="000000"/>
          <w:sz w:val="24"/>
        </w:rPr>
        <w:t>2.2 几何感知可形变自适应感知层 (Deformable Adapter Block)</w:t>
      </w:r>
    </w:p>
    <w:p w14:paraId="456270D4">
      <w:pPr>
        <w:spacing w:after="120" w:line="360" w:lineRule="auto"/>
        <w:ind w:firstLine="475"/>
        <w:jc w:val="both"/>
      </w:pPr>
      <w:r>
        <w:rPr>
          <w:rFonts w:ascii="Times New Roman" w:hAnsi="Times New Roman" w:eastAsia="宋体"/>
          <w:b w:val="0"/>
          <w:i w:val="0"/>
          <w:color w:val="000000"/>
          <w:sz w:val="24"/>
        </w:rPr>
        <w:t>本模块旨在阻断 16x16 Patch 粗粒度划分带来的极小微动脉瘤特征空间塌陷，并自适应拟合渗出斑块多变曲折的不规则几何轮廓。 技术路线：Baseline 中传统的 Adapter 仅仅采用固定权重的全连接规则线性层，其空间感受野在映射时呈规则网格状，极易平滑极小目标。 我们将 ViT 块中并联的所有适配层升级升级重构为几何可形变感知层（Deformable Adapter）。通过在适配器的降维线性变换后嵌入多尺度可形变卷积网络（Multi-scale Deformable Convolutional Layer），引入两个额外的轻量级并行卷积层，专门用于在线学习特征空间中每个像素顶点坐标的二维几何位置偏移量（Offsets）。 当大模型的浅层特征流通过仅占几个像素点的微动脉瘤或者空间蔓延不规则的硬性渗出物时，Adapter 支路的采样核感受野会自动在偏移量的引导下如变形虫般进行自适应收缩、拉伸与曲折扭曲，使其紧紧包裹住局部不规则病灶的异构边缘，从而在不破坏大模型原有全局依赖感知本领的同时，极大地强化了对极高频局部空间几何特征的敏锐捕捉力。</w:t>
      </w:r>
    </w:p>
    <w:p w14:paraId="5F56BADE">
      <w:pPr>
        <w:keepNext/>
        <w:spacing w:before="120" w:after="80"/>
        <w:jc w:val="both"/>
      </w:pPr>
      <w:r>
        <w:rPr>
          <w:rFonts w:ascii="Times New Roman" w:hAnsi="Times New Roman" w:eastAsia="宋体"/>
          <w:b/>
          <w:i w:val="0"/>
          <w:color w:val="000000"/>
          <w:sz w:val="24"/>
        </w:rPr>
        <w:t>2.3 无监督自动化 Bbox 提示自适应生成头 (Auto-Prompt Generator)</w:t>
      </w:r>
    </w:p>
    <w:p w14:paraId="47CE3451">
      <w:pPr>
        <w:spacing w:after="120" w:line="360" w:lineRule="auto"/>
        <w:ind w:firstLine="475"/>
        <w:jc w:val="both"/>
      </w:pPr>
      <w:r>
        <w:rPr>
          <w:rFonts w:ascii="Times New Roman" w:hAnsi="Times New Roman" w:eastAsia="宋体"/>
          <w:b w:val="0"/>
          <w:i w:val="0"/>
          <w:color w:val="000000"/>
          <w:sz w:val="24"/>
        </w:rPr>
        <w:t>本模块旨在彻底砸碎密集多发病灶场景下“依靠医生手动频繁点击提示”的临床瓶颈，将交互式 SAM 改造为纯全自动运行网络。 技术路线：利用冻结的 ViT 图像编码器中后段输出的富含宏观上下文语义信息的特征图，我们旁路引出一个由三层连续步长卷积层及非极大值抑制（NMS）模块组成的极其轻量化的显著性异常定位前提头（Saliency Region Proposal Head）。 该无监督模块能够对输入大图中的多类别疑似病变斑块进行在线快速的对比度扫描，自适应估计出所有可能存在出血点或渗出斑的前景概率图，进而在一瞬间自动输出一组能够包围所有疑似宏微病灶目标的密集包围框集合（Auto Bounding Boxes）。 这些自生成的 Bbox 被直接作为 Prompt 信号送入多模态提示编码器（Prompt Encoder）中。这一“无感化提示机制”完美兼顾了大模型解码器依靠 Prompt 激活最优分割特征的核心逻辑，同时彻底抹除了人工点击开销，在临床上实现了极高吞吐的端到端全自动无人工干预运作流。</w:t>
      </w:r>
    </w:p>
    <w:p w14:paraId="71506E86">
      <w:pPr>
        <w:spacing w:before="0" w:after="0" w:line="240" w:lineRule="auto"/>
        <w:jc w:val="both"/>
      </w:pPr>
    </w:p>
    <w:p w14:paraId="2FF6735F">
      <w:pPr>
        <w:keepNext/>
        <w:spacing w:before="240" w:after="240"/>
        <w:jc w:val="both"/>
      </w:pPr>
      <w:r>
        <w:rPr>
          <w:rFonts w:ascii="Times New Roman" w:hAnsi="Times New Roman" w:eastAsia="宋体"/>
          <w:b/>
          <w:i w:val="0"/>
          <w:color w:val="000000"/>
          <w:sz w:val="32"/>
        </w:rPr>
        <w:t>e) 实验规划</w:t>
      </w:r>
    </w:p>
    <w:p w14:paraId="676BE7AF">
      <w:pPr>
        <w:keepNext/>
        <w:spacing w:before="240" w:after="120"/>
        <w:jc w:val="both"/>
      </w:pPr>
      <w:r>
        <w:rPr>
          <w:rFonts w:ascii="Times New Roman" w:hAnsi="Times New Roman" w:eastAsia="宋体"/>
          <w:b/>
          <w:i w:val="0"/>
          <w:color w:val="000000"/>
          <w:sz w:val="28"/>
        </w:rPr>
        <w:t>1. 权威公开数据集配置、增强与切分标准</w:t>
      </w:r>
    </w:p>
    <w:p w14:paraId="37274588">
      <w:pPr>
        <w:spacing w:after="120" w:line="360" w:lineRule="auto"/>
        <w:ind w:firstLine="475"/>
        <w:jc w:val="both"/>
      </w:pPr>
      <w:r>
        <w:rPr>
          <w:rFonts w:ascii="Times New Roman" w:hAnsi="Times New Roman" w:eastAsia="宋体"/>
          <w:b w:val="0"/>
          <w:i w:val="0"/>
          <w:color w:val="000000"/>
          <w:sz w:val="24"/>
        </w:rPr>
        <w:t>为了对 EA-SAM 全自动分割网络的量化表现进行极其严苛且具备国际公信力的学术检验，本实验选定糖尿病视网膜病变像素级分割最权威的经典基准公开数据集 **IDRiD (Indian Diabetic Retinopathy Image Dataset)**。 选择该数据集的考量基于两个关键特性：第一，相较于只有图像级分类标签的其他超大型眼底库，IDRiD 提供了由多位顶级眼底医学专家耗时数月纯手工精确勾画的病灶像素级金标准掩码，涵盖微动脉瘤（MA）、出血（EX）、硬渗出（HE）及软渗出（SE），无任何临床假阳性干扰；第二，该数据集拥有 **4288 × 2848** 的罕见超高工业级清晰度，是验证极小微动脉瘤空间塌陷缓解成效的终极试金石。 在数据集切分上，实验严格遵循国际学术挑战赛的公认切分规范，将其中包含精细 Mask 的 81 张图像划分为：54 张作为模型训练集，27 张作为完全黑盒的独立外部验证测试集。针对 IDRiD 小样本容易诱发深度网络过拟合的系统级风险，在前向数据流中在线引入随机 0-360° 旋转、水平/垂直翻转、高斯网格弹性形变（Elastic Deformation）、以及针对眼底专用底色优化的全局对比度控制与 Gamma 强鲁棒光照均衡强扰动，大幅扩增训练样本的边界分异度。</w:t>
      </w:r>
    </w:p>
    <w:p w14:paraId="3B79106D">
      <w:pPr>
        <w:keepNext/>
        <w:spacing w:before="240" w:after="120"/>
        <w:jc w:val="both"/>
      </w:pPr>
      <w:r>
        <w:rPr>
          <w:rFonts w:ascii="Times New Roman" w:hAnsi="Times New Roman" w:eastAsia="宋体"/>
          <w:b/>
          <w:i w:val="0"/>
          <w:color w:val="000000"/>
          <w:sz w:val="28"/>
        </w:rPr>
        <w:t>2. 类别极度不平衡场景下难易样本自适应联合损失函数</w:t>
      </w:r>
    </w:p>
    <w:p w14:paraId="787275E0">
      <w:pPr>
        <w:spacing w:after="120" w:line="360" w:lineRule="auto"/>
        <w:ind w:firstLine="475"/>
        <w:jc w:val="both"/>
      </w:pPr>
      <w:r>
        <w:rPr>
          <w:rFonts w:ascii="Times New Roman" w:hAnsi="Times New Roman" w:eastAsia="宋体"/>
          <w:b w:val="0"/>
          <w:i w:val="0"/>
          <w:color w:val="000000"/>
          <w:sz w:val="24"/>
        </w:rPr>
        <w:t>在超高清晰度的眼底底片中，散在的早期微动脉瘤或点状出血在全图数千万像素点中的空间占比通常极其严苛，甚至不足 0.02%，表现出极其极端的类别不平衡（Extreme Class Imbalance）现象。 如果盲目采用传统的标准交叉熵损失（Cross-Entropy），由于背景正常组织的像素点贡献了 99.9% 的梯度，模型会迅速陷入将所有区域都预测为正常视网膜背景的局部死锁 trap。 为此，本实验创新构建了多尺度深度监督的难易样本自适应加权联合损失函数：</w:t>
      </w:r>
      <w:r>
        <w:rPr>
          <w:rFonts w:ascii="Times New Roman" w:hAnsi="Times New Roman" w:eastAsia="宋体"/>
          <w:b w:val="0"/>
          <w:i w:val="0"/>
          <w:color w:val="000000"/>
          <w:sz w:val="24"/>
        </w:rPr>
        <w:br w:type="textWrapping"/>
      </w:r>
      <w:r>
        <w:rPr>
          <w:rFonts w:ascii="Times New Roman" w:hAnsi="Times New Roman" w:eastAsia="宋体"/>
          <w:b w:val="0"/>
          <w:i w:val="0"/>
          <w:color w:val="000000"/>
          <w:sz w:val="24"/>
        </w:rPr>
        <w:t>Loss_total = 0.6 * Loss_Dice + 0.4 * Loss_Focal</w:t>
      </w:r>
      <w:r>
        <w:rPr>
          <w:rFonts w:ascii="Times New Roman" w:hAnsi="Times New Roman" w:eastAsia="宋体"/>
          <w:b w:val="0"/>
          <w:i w:val="0"/>
          <w:color w:val="000000"/>
          <w:sz w:val="24"/>
        </w:rPr>
        <w:br w:type="textWrapping"/>
      </w:r>
      <w:r>
        <w:rPr>
          <w:rFonts w:ascii="Times New Roman" w:hAnsi="Times New Roman" w:eastAsia="宋体"/>
          <w:b w:val="0"/>
          <w:i w:val="0"/>
          <w:color w:val="000000"/>
          <w:sz w:val="24"/>
        </w:rPr>
        <w:t>其中，Dice 损失（Dice Loss）直接从宏观交叠区域重合度的导数出发，对病灶物体本身的绝对像素尺寸完全不敏感，为渗出物提供强力的全局几何牵引；而 Focal 损失（Focal Loss）则引入了难易样本调制因子，通过反向传播动态压低大量正常眼底组织背景（极易分类的阴性样本）的梯度贡献，强迫网络的整体更新梯度在训练中后期高度集中在灰度对比度极低、几何边缘极难捕捉、临床最易发生漏诊的微小血管瘤边界点之上，从数学约束层面平抑不平衡缺陷。</w:t>
      </w:r>
    </w:p>
    <w:p w14:paraId="26115741">
      <w:pPr>
        <w:keepNext/>
        <w:spacing w:before="240" w:after="120"/>
        <w:jc w:val="both"/>
      </w:pPr>
      <w:r>
        <w:rPr>
          <w:rFonts w:ascii="Times New Roman" w:hAnsi="Times New Roman" w:eastAsia="宋体"/>
          <w:b/>
          <w:i w:val="0"/>
          <w:color w:val="000000"/>
          <w:sz w:val="28"/>
        </w:rPr>
        <w:t>3. 多维医学评估指标矩阵</w:t>
      </w:r>
    </w:p>
    <w:p w14:paraId="011EC52C">
      <w:pPr>
        <w:spacing w:after="120" w:line="360" w:lineRule="auto"/>
        <w:ind w:firstLine="475"/>
        <w:jc w:val="both"/>
      </w:pPr>
      <w:r>
        <w:rPr>
          <w:rFonts w:ascii="Times New Roman" w:hAnsi="Times New Roman" w:eastAsia="宋体"/>
          <w:b w:val="0"/>
          <w:i w:val="0"/>
          <w:color w:val="000000"/>
          <w:sz w:val="24"/>
        </w:rPr>
        <w:t>为确保算法测评结果能够完美对接临床眼科学的真实考量并具备扎实的同行说服力，构建由五项核心指标组成的全面学术评估矩阵： （1）Dice相似系数 (DSC)：医学影像分割的第一核心锚点，精准衡量预测多类别掩码与专家手工勾画金标准之间的像素域重叠贴合交叠程度； （2）交并比 (IoU)：提供比 Dice 更为严苛的几何交并比惩罚校验； （3）敏感度 (Sensitivity / Recall)：计算公式为 TP / (TP + FN)，它在眼底多病变早筛场景中扮演着最关键的临床卡尺，直接决定了模型对抗系统漏诊的敏感本领，关系到早筛的临床安全性； （4）特异度 (Specificity)：计算公式为 TN / (TN + FP)，全面衡量算法对神经纤维层、视神经盘、正常生理血管分叉等健康解剖结构的噪声抑制能力，防止发生引发医疗纠纷的假阳性误诊； （5）平均绝对对称距离 (ASD)：从空间三维/二维边缘轮廓的几何距离维度，精细测量预测病灶 Mask 边界与专家标注真实线之间的真实像素偏移量，直接定量反映病变边缘的拟合质量。</w:t>
      </w:r>
    </w:p>
    <w:p w14:paraId="14C89101">
      <w:pPr>
        <w:keepNext/>
        <w:spacing w:before="240" w:after="120"/>
        <w:jc w:val="both"/>
      </w:pPr>
      <w:r>
        <w:rPr>
          <w:rFonts w:ascii="Times New Roman" w:hAnsi="Times New Roman" w:eastAsia="宋体"/>
          <w:b/>
          <w:i w:val="0"/>
          <w:color w:val="000000"/>
          <w:sz w:val="28"/>
        </w:rPr>
        <w:t>4. 对比基线网络与步进分阶消融长跑长远规划</w:t>
      </w:r>
    </w:p>
    <w:p w14:paraId="252941C9">
      <w:pPr>
        <w:spacing w:after="120" w:line="360" w:lineRule="auto"/>
        <w:ind w:firstLine="475"/>
        <w:jc w:val="both"/>
      </w:pPr>
      <w:r>
        <w:rPr>
          <w:rFonts w:ascii="Times New Roman" w:hAnsi="Times New Roman" w:eastAsia="宋体"/>
          <w:b w:val="0"/>
          <w:i w:val="0"/>
          <w:color w:val="000000"/>
          <w:sz w:val="24"/>
        </w:rPr>
        <w:t xml:space="preserve">实验对比基线完整覆盖了医疗影像分割领域近 5 年来两代跨时代的代表性杰作。 第一代为传统纯专精卷积与早期 Transformer 网络：包括经典语义分割王 DeepLabv3+、多尺度级联网络 UNet++、眼底多病变关系Transformer强网络 RTNet (Li et al., 2022) 以及最新的病灶感知检测网络 LANet-DR (2024)。 第二代为视觉基础大模型及特定 PEFT 变体：包括 Vanilla SAM 2、医疗底座 MedSAM、参数高效微调基线 SAM-Adapter 以及引入强外部先验的 GlanceSeg (Wang et al., 2023)。 </w:t>
      </w:r>
    </w:p>
    <w:p w14:paraId="48079B4D">
      <w:pPr>
        <w:spacing w:after="120" w:line="360" w:lineRule="auto"/>
        <w:ind w:firstLine="475"/>
        <w:jc w:val="both"/>
      </w:pPr>
      <w:r>
        <w:rPr>
          <w:rFonts w:ascii="Times New Roman" w:hAnsi="Times New Roman" w:eastAsia="宋体"/>
          <w:b w:val="0"/>
          <w:i w:val="0"/>
          <w:color w:val="000000"/>
          <w:sz w:val="24"/>
        </w:rPr>
        <w:t>同时，为了极其严谨地自证 EA-SAM 中每个功能外挂插件的独立学术贡献，消融实验严格制订了如下 4 个阶梯式演进分阶长跑：</w:t>
      </w:r>
      <w:r>
        <w:rPr>
          <w:rFonts w:ascii="Times New Roman" w:hAnsi="Times New Roman" w:eastAsia="宋体"/>
          <w:b w:val="0"/>
          <w:i w:val="0"/>
          <w:color w:val="000000"/>
          <w:sz w:val="24"/>
        </w:rPr>
        <w:br w:type="textWrapping"/>
      </w:r>
      <w:r>
        <w:rPr>
          <w:rFonts w:ascii="Times New Roman" w:hAnsi="Times New Roman" w:eastAsia="宋体"/>
          <w:b w:val="0"/>
          <w:i w:val="0"/>
          <w:color w:val="000000"/>
          <w:sz w:val="24"/>
        </w:rPr>
        <w:t>（1）Group 1: 纯原生的标准基线结构 (SAM-Adapter 架构 + MedSAM 医学预训练权重初始化)；</w:t>
      </w:r>
      <w:r>
        <w:rPr>
          <w:rFonts w:ascii="Times New Roman" w:hAnsi="Times New Roman" w:eastAsia="宋体"/>
          <w:b w:val="0"/>
          <w:i w:val="0"/>
          <w:color w:val="000000"/>
          <w:sz w:val="24"/>
        </w:rPr>
        <w:br w:type="textWrapping"/>
      </w:r>
      <w:r>
        <w:rPr>
          <w:rFonts w:ascii="Times New Roman" w:hAnsi="Times New Roman" w:eastAsia="宋体"/>
          <w:b w:val="0"/>
          <w:i w:val="0"/>
          <w:color w:val="000000"/>
          <w:sz w:val="24"/>
        </w:rPr>
        <w:t>（2）Group 2: Baseline + 无监督自动化 Bbox 提示自适应生成头（定性验证自动提示生成器对人工手动点选交互的完美精度无损替代性）；</w:t>
      </w:r>
      <w:r>
        <w:rPr>
          <w:rFonts w:ascii="Times New Roman" w:hAnsi="Times New Roman" w:eastAsia="宋体"/>
          <w:b w:val="0"/>
          <w:i w:val="0"/>
          <w:color w:val="000000"/>
          <w:sz w:val="24"/>
        </w:rPr>
        <w:br w:type="textWrapping"/>
      </w:r>
      <w:r>
        <w:rPr>
          <w:rFonts w:ascii="Times New Roman" w:hAnsi="Times New Roman" w:eastAsia="宋体"/>
          <w:b w:val="0"/>
          <w:i w:val="0"/>
          <w:color w:val="000000"/>
          <w:sz w:val="24"/>
        </w:rPr>
        <w:t>（3）Group 3: Group 2 + VQ 码本潜在增强注入支路（定量测量特征码本对冲老年白内障模糊、光照对比度严重失衡退化噪声时的系统级分割 DSC 增益）；</w:t>
      </w:r>
      <w:r>
        <w:rPr>
          <w:rFonts w:ascii="Times New Roman" w:hAnsi="Times New Roman" w:eastAsia="宋体"/>
          <w:b w:val="0"/>
          <w:i w:val="0"/>
          <w:color w:val="000000"/>
          <w:sz w:val="24"/>
        </w:rPr>
        <w:br w:type="textWrapping"/>
      </w:r>
      <w:r>
        <w:rPr>
          <w:rFonts w:ascii="Times New Roman" w:hAnsi="Times New Roman" w:eastAsia="宋体"/>
          <w:b w:val="0"/>
          <w:i w:val="0"/>
          <w:color w:val="000000"/>
          <w:sz w:val="24"/>
        </w:rPr>
        <w:t>（4）Group 4: Group 3 + 几何感知可形变自适应感知层（即 EA-SAM 的终极完整形态，长跑测评全病灶多类别分割，全面刷新小目标 MA 的 Sensitivity 与 Dice 指标表现）。</w:t>
      </w:r>
    </w:p>
    <w:p w14:paraId="210035FB">
      <w:pPr>
        <w:keepNext/>
        <w:spacing w:before="240" w:after="120"/>
        <w:jc w:val="both"/>
      </w:pPr>
      <w:r>
        <w:rPr>
          <w:rFonts w:ascii="Times New Roman" w:hAnsi="Times New Roman" w:eastAsia="宋体"/>
          <w:b/>
          <w:i w:val="0"/>
          <w:color w:val="000000"/>
          <w:sz w:val="28"/>
        </w:rPr>
        <w:t>5. 软硬件运行物理环境配置规范</w:t>
      </w:r>
    </w:p>
    <w:p w14:paraId="7299265A">
      <w:pPr>
        <w:spacing w:after="120" w:line="360" w:lineRule="auto"/>
        <w:ind w:firstLine="475"/>
        <w:jc w:val="both"/>
      </w:pPr>
      <w:r>
        <w:rPr>
          <w:rFonts w:ascii="Times New Roman" w:hAnsi="Times New Roman" w:eastAsia="宋体"/>
          <w:b w:val="0"/>
          <w:i w:val="0"/>
          <w:color w:val="000000"/>
          <w:sz w:val="24"/>
        </w:rPr>
        <w:t>本方案在软件底层完全采用开源的 PyTorch 2.3+ 深度学习通用框架以及与之无缝对接的 CUDA 12.1 显卡算力硬件加速库。 硬件终端配置推荐采用单张或双张分布式 NVIDIA RTX 4090 (24GB) 消费级旗舰显卡，或者单张英伟达 NVIDIA A100 (40GB/80GB) 算力中心显卡，以充裕应对高维 Vision Transformer 全局注意力交互以及 4K 级超大眼底底片加载时产生的瞬时全量显存开销峰值。 超参数工程配置指南：网络优化器选定更长于处理 Transformer 权重的自适应 AdamW 优化器，基础初始学习率设为 2e-4，配置 CosineAnnealingLR（余弦退火周期策略）随 Epoch 跌宕平滑衰减至 1e-6 终点。由于 ViT 特征庞大，设置单卡物理 Batch Size 为 4，若物理显存触发溢出报错，在线开启梯度累加步数（Gradient Accumulation Steps = 4）进行等效大 Batch 收敛训练，全局权重衰减因子固定为 1e-4，训练总 Epoch 统一定为 200 轮。</w:t>
      </w:r>
    </w:p>
    <w:p w14:paraId="48BA5B44">
      <w:pPr>
        <w:spacing w:before="0" w:after="0" w:line="240" w:lineRule="auto"/>
        <w:jc w:val="both"/>
      </w:pPr>
    </w:p>
    <w:p w14:paraId="0006F024">
      <w:pPr>
        <w:keepNext/>
        <w:spacing w:before="240" w:after="240"/>
        <w:jc w:val="both"/>
      </w:pPr>
      <w:r>
        <w:rPr>
          <w:rFonts w:ascii="Times New Roman" w:hAnsi="Times New Roman" w:eastAsia="宋体"/>
          <w:b/>
          <w:i w:val="0"/>
          <w:color w:val="000000"/>
          <w:sz w:val="32"/>
        </w:rPr>
        <w:t>f) 参考文献</w:t>
      </w:r>
    </w:p>
    <w:p w14:paraId="7197B60F">
      <w:pPr>
        <w:spacing w:after="80" w:line="276" w:lineRule="auto"/>
        <w:ind w:left="360"/>
        <w:jc w:val="both"/>
      </w:pPr>
      <w:r>
        <w:rPr>
          <w:rFonts w:ascii="Times New Roman" w:hAnsi="Times New Roman" w:eastAsia="宋体"/>
          <w:b w:val="0"/>
          <w:i w:val="0"/>
          <w:color w:val="000000"/>
          <w:sz w:val="20"/>
        </w:rPr>
        <w:t>[1] Kirillov A, Mintun E, Ravi N, et al. Segment anything[C]. Proceedings of the IEEE/CVF International Conference on Computer Vision (ICCV), 2023: 4015-4026.</w:t>
      </w:r>
    </w:p>
    <w:p w14:paraId="1790722B">
      <w:pPr>
        <w:spacing w:after="80" w:line="276" w:lineRule="auto"/>
        <w:ind w:left="360"/>
        <w:jc w:val="both"/>
      </w:pPr>
      <w:r>
        <w:rPr>
          <w:rFonts w:ascii="Times New Roman" w:hAnsi="Times New Roman" w:eastAsia="宋体"/>
          <w:b w:val="0"/>
          <w:i w:val="0"/>
          <w:color w:val="000000"/>
          <w:sz w:val="20"/>
        </w:rPr>
        <w:t>[2] Ma J, He Y, Li F, et al. Segment anything in medical images[J]. Nature Communications, 2024, 15(1): 654.</w:t>
      </w:r>
    </w:p>
    <w:p w14:paraId="461BF7C2">
      <w:pPr>
        <w:spacing w:after="80" w:line="276" w:lineRule="auto"/>
        <w:ind w:left="360"/>
        <w:jc w:val="both"/>
      </w:pPr>
      <w:r>
        <w:rPr>
          <w:rFonts w:ascii="Times New Roman" w:hAnsi="Times New Roman" w:eastAsia="宋体"/>
          <w:b w:val="0"/>
          <w:i w:val="0"/>
          <w:color w:val="000000"/>
          <w:sz w:val="20"/>
        </w:rPr>
        <w:t>[3] Wu J, Fu R, Fang H, et al. Medical SAM Adapter: Adapting segment anything model for medical image segmentation[J]. Computer Vision and Image Understanding, 2024, 242: 103986.</w:t>
      </w:r>
    </w:p>
    <w:p w14:paraId="74CC07A2">
      <w:pPr>
        <w:spacing w:after="80" w:line="276" w:lineRule="auto"/>
        <w:ind w:left="360"/>
        <w:jc w:val="both"/>
      </w:pPr>
      <w:r>
        <w:rPr>
          <w:rFonts w:ascii="Times New Roman" w:hAnsi="Times New Roman" w:eastAsia="宋体"/>
          <w:b w:val="0"/>
          <w:i w:val="0"/>
          <w:color w:val="000000"/>
          <w:sz w:val="20"/>
        </w:rPr>
        <w:t>[4] Cheng D, et al. SAM-Med2D: A large-scale framework for medical image segmentation[J]. arXiv preprint arXiv:2308.16184, 2023.</w:t>
      </w:r>
    </w:p>
    <w:p w14:paraId="3E8E4909">
      <w:pPr>
        <w:spacing w:after="80" w:line="276" w:lineRule="auto"/>
        <w:ind w:left="360"/>
        <w:jc w:val="both"/>
      </w:pPr>
      <w:r>
        <w:rPr>
          <w:rFonts w:ascii="Times New Roman" w:hAnsi="Times New Roman" w:eastAsia="宋体"/>
          <w:b w:val="0"/>
          <w:i w:val="0"/>
          <w:color w:val="000000"/>
          <w:sz w:val="20"/>
        </w:rPr>
        <w:t>[5] Huang S, Li J, Xiao Y, et al. RTNet: relation transformer network for diabetic retinopathy multi-lesion segmentation[J]. IEEE Transactions on Medical Imaging, 2022, 41(12): 3530-3542.</w:t>
      </w:r>
    </w:p>
    <w:p w14:paraId="0C332235">
      <w:pPr>
        <w:spacing w:after="80" w:line="276" w:lineRule="auto"/>
        <w:ind w:left="360"/>
        <w:jc w:val="both"/>
      </w:pPr>
      <w:r>
        <w:rPr>
          <w:rFonts w:ascii="Times New Roman" w:hAnsi="Times New Roman" w:eastAsia="宋体"/>
          <w:b w:val="0"/>
          <w:i w:val="0"/>
          <w:color w:val="000000"/>
          <w:sz w:val="20"/>
        </w:rPr>
        <w:t>[6] Wang Z, et al. GlanceSeg: Microaneurysms Segmentation with Gaze Prior and Segment Anything Model[C]. International Conference on Medical Image Computing and Computer-Assisted Intervention (MICCAI), 2023: 214-224.</w:t>
      </w:r>
    </w:p>
    <w:p w14:paraId="00D7F110">
      <w:pPr>
        <w:spacing w:after="80" w:line="276" w:lineRule="auto"/>
        <w:ind w:left="360"/>
        <w:jc w:val="both"/>
      </w:pPr>
      <w:r>
        <w:rPr>
          <w:rFonts w:ascii="Times New Roman" w:hAnsi="Times New Roman" w:eastAsia="宋体"/>
          <w:b w:val="0"/>
          <w:i w:val="0"/>
          <w:color w:val="000000"/>
          <w:sz w:val="20"/>
        </w:rPr>
        <w:t>[7] Zhang Y, et al. SAT-Net: Structure-Aware Transformer for Low-Quality Fundus Image Enhancement and Segmentation[J]. Medical Image Analysis, 2024, 92: 103062.</w:t>
      </w:r>
    </w:p>
    <w:p w14:paraId="6D943A4D">
      <w:pPr>
        <w:spacing w:after="80" w:line="276" w:lineRule="auto"/>
        <w:ind w:left="360"/>
        <w:jc w:val="both"/>
      </w:pPr>
      <w:r>
        <w:rPr>
          <w:rFonts w:ascii="Times New Roman" w:hAnsi="Times New Roman" w:eastAsia="宋体"/>
          <w:b w:val="0"/>
          <w:i w:val="0"/>
          <w:color w:val="000000"/>
          <w:sz w:val="20"/>
        </w:rPr>
        <w:t>[8] Chen H, Yang Z, Hou H, et al. All-in-One Medical Image Restoration with Latent Diffusion-Enhanced Vector-Quantized Codebook Prior[J]. arXiv preprint arXiv:2507.19874, 2025.</w:t>
      </w:r>
    </w:p>
    <w:p w14:paraId="035FFEA8">
      <w:pPr>
        <w:spacing w:after="80" w:line="276" w:lineRule="auto"/>
        <w:ind w:left="360"/>
        <w:jc w:val="both"/>
      </w:pPr>
      <w:r>
        <w:rPr>
          <w:rFonts w:ascii="Times New Roman" w:hAnsi="Times New Roman" w:eastAsia="宋体"/>
          <w:b w:val="0"/>
          <w:i w:val="0"/>
          <w:color w:val="000000"/>
          <w:sz w:val="20"/>
        </w:rPr>
        <w:t>[9] Yang Z, Chen H, Qian Z, et al. All-In-One Medical Image Restoration via Task-Adaptive Routing[C]. International Conference on Medical Image Computing and Computer-Assisted Intervention (MICCAI), 2024: 512-522.</w:t>
      </w:r>
    </w:p>
    <w:p w14:paraId="0E7DCA0C">
      <w:pPr>
        <w:spacing w:after="80" w:line="276" w:lineRule="auto"/>
        <w:ind w:left="360"/>
        <w:jc w:val="both"/>
      </w:pPr>
      <w:r>
        <w:rPr>
          <w:rFonts w:ascii="Times New Roman" w:hAnsi="Times New Roman" w:eastAsia="宋体"/>
          <w:b w:val="0"/>
          <w:i w:val="0"/>
          <w:color w:val="000000"/>
          <w:sz w:val="20"/>
        </w:rPr>
        <w:t>[10] Chin C W, Yazid H, Lee H L. Challenges, Advances, and Evaluation Metrics in Medical Image Enhancement: A Systematic Literature Review[J]. arXiv preprint arXiv:2510.13638, 2025.</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0325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9175</Words>
  <Characters>12398</Characters>
  <Lines>0</Lines>
  <Paragraphs>0</Paragraphs>
  <TotalTime>0</TotalTime>
  <ScaleCrop>false</ScaleCrop>
  <LinksUpToDate>false</LinksUpToDate>
  <CharactersWithSpaces>13189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许王智</cp:lastModifiedBy>
  <dcterms:modified xsi:type="dcterms:W3CDTF">2026-05-29T15:22:57Z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eyJoZGlkIjoiYTc5NWEwNDkyYmI2NjA5OWZmMmQxY2Y3ZjZiZmU1ZGMiLCJ1c2VySWQiOiI4MDgxMzgxMjIifQ==</vt:lpwstr>
  </property>
  <property fmtid="{D5CDD505-2E9C-101B-9397-08002B2CF9AE}" pid="3" name="KSOProductBuildVer">
    <vt:lpwstr>2052-12.1.0.26375</vt:lpwstr>
  </property>
  <property fmtid="{D5CDD505-2E9C-101B-9397-08002B2CF9AE}" pid="4" name="ICV">
    <vt:lpwstr>507B88610B2F4A838B0BEBE73F58093B_12</vt:lpwstr>
  </property>
</Properties>
</file>