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1C25F">
      <w:pPr>
        <w:pStyle w:val="2"/>
        <w:bidi w:val="0"/>
        <w:rPr>
          <w:rFonts w:hint="eastAsia"/>
          <w:lang w:val="en-US" w:eastAsia="zh-CN"/>
        </w:rPr>
      </w:pPr>
      <w:r>
        <w:rPr>
          <w:rFonts w:hint="eastAsia"/>
          <w:lang w:val="en-US" w:eastAsia="zh-CN"/>
        </w:rPr>
        <w:t>相关文献阅读笔记</w:t>
      </w:r>
    </w:p>
    <w:p w14:paraId="1F83ED6F">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4"/>
          <w:szCs w:val="24"/>
          <w:highlight w:val="yellow"/>
          <w:u w:val="single"/>
          <w:lang w:val="en-US" w:eastAsia="zh-CN"/>
        </w:rPr>
      </w:pPr>
      <w:r>
        <w:rPr>
          <w:rFonts w:hint="eastAsia"/>
          <w:sz w:val="24"/>
          <w:szCs w:val="24"/>
          <w:highlight w:val="yellow"/>
          <w:u w:val="single"/>
          <w:lang w:val="en-US" w:eastAsia="zh-CN"/>
        </w:rPr>
        <w:t>第一部分：</w:t>
      </w:r>
    </w:p>
    <w:p w14:paraId="0FBE08AB">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TEDS指标</w:t>
      </w:r>
      <w:r>
        <w:rPr>
          <w:rFonts w:ascii="宋体" w:hAnsi="宋体" w:eastAsia="宋体" w:cs="宋体"/>
          <w:sz w:val="24"/>
          <w:szCs w:val="24"/>
        </w:rPr>
        <w:t>（基于树编辑距离的相似度）</w:t>
      </w:r>
      <w:r>
        <w:rPr>
          <w:rFonts w:hint="eastAsia"/>
          <w:sz w:val="21"/>
          <w:szCs w:val="21"/>
          <w:highlight w:val="none"/>
          <w:lang w:val="en-US" w:eastAsia="zh-CN"/>
        </w:rPr>
        <w:t>：</w:t>
      </w:r>
    </w:p>
    <w:p w14:paraId="107DF8CF">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default"/>
          <w:sz w:val="21"/>
          <w:szCs w:val="21"/>
          <w:highlight w:val="none"/>
          <w:lang w:val="en-US" w:eastAsia="zh-CN"/>
        </w:rPr>
      </w:pPr>
      <w:r>
        <w:rPr>
          <w:rFonts w:hint="default"/>
          <w:sz w:val="21"/>
          <w:szCs w:val="21"/>
          <w:highlight w:val="none"/>
          <w:lang w:val="en-US" w:eastAsia="zh-CN"/>
        </w:rPr>
        <w:t>是表格识别领域标准全局评测指标，由 PubTabNet（Zhong et al. 2020）论文提出，专门用来衡量</w:t>
      </w:r>
      <w:r>
        <w:rPr>
          <w:rFonts w:hint="default"/>
          <w:sz w:val="21"/>
          <w:szCs w:val="21"/>
          <w:highlight w:val="yellow"/>
          <w:lang w:val="en-US" w:eastAsia="zh-CN"/>
        </w:rPr>
        <w:t>模型输出表格与真值表格的整体匹配程度</w:t>
      </w:r>
      <w:r>
        <w:rPr>
          <w:rFonts w:hint="default"/>
          <w:sz w:val="21"/>
          <w:szCs w:val="21"/>
          <w:highlight w:val="none"/>
          <w:lang w:val="en-US" w:eastAsia="zh-CN"/>
        </w:rPr>
        <w:t>，同时覆盖</w:t>
      </w:r>
      <w:r>
        <w:rPr>
          <w:rFonts w:hint="default"/>
          <w:sz w:val="21"/>
          <w:szCs w:val="21"/>
          <w:highlight w:val="yellow"/>
          <w:lang w:val="en-US" w:eastAsia="zh-CN"/>
        </w:rPr>
        <w:t>表格结构</w:t>
      </w:r>
      <w:r>
        <w:rPr>
          <w:rFonts w:hint="default"/>
          <w:sz w:val="21"/>
          <w:szCs w:val="21"/>
          <w:highlight w:val="none"/>
          <w:lang w:val="en-US" w:eastAsia="zh-CN"/>
        </w:rPr>
        <w:t xml:space="preserve">（行列、合并单元格） + </w:t>
      </w:r>
      <w:r>
        <w:rPr>
          <w:rFonts w:hint="default"/>
          <w:sz w:val="21"/>
          <w:szCs w:val="21"/>
          <w:highlight w:val="yellow"/>
          <w:lang w:val="en-US" w:eastAsia="zh-CN"/>
        </w:rPr>
        <w:t>单元格文本内容</w:t>
      </w:r>
      <w:r>
        <w:rPr>
          <w:rFonts w:hint="default"/>
          <w:sz w:val="21"/>
          <w:szCs w:val="21"/>
          <w:highlight w:val="none"/>
          <w:lang w:val="en-US" w:eastAsia="zh-CN"/>
        </w:rPr>
        <w:t>两大维度。</w:t>
      </w:r>
    </w:p>
    <w:p w14:paraId="1206A90A">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default"/>
          <w:sz w:val="21"/>
          <w:szCs w:val="21"/>
          <w:highlight w:val="none"/>
          <w:lang w:val="en-US" w:eastAsia="zh-CN"/>
        </w:rPr>
      </w:pPr>
    </w:p>
    <w:p w14:paraId="4E0F2F93">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评估逻辑：</w:t>
      </w:r>
    </w:p>
    <w:p w14:paraId="2F7D0B9D">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default"/>
          <w:sz w:val="21"/>
          <w:szCs w:val="21"/>
          <w:highlight w:val="none"/>
          <w:lang w:val="en-US" w:eastAsia="zh-CN"/>
        </w:rPr>
      </w:pPr>
      <w:r>
        <w:rPr>
          <w:rFonts w:hint="eastAsia"/>
          <w:sz w:val="21"/>
          <w:szCs w:val="21"/>
          <w:highlight w:val="none"/>
          <w:lang w:val="en-US" w:eastAsia="zh-CN"/>
        </w:rPr>
        <w:t>1、将表格数据转化为HTML有序树</w:t>
      </w:r>
    </w:p>
    <w:p w14:paraId="2159306C">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default"/>
          <w:sz w:val="21"/>
          <w:szCs w:val="21"/>
          <w:highlight w:val="none"/>
          <w:lang w:val="en-US" w:eastAsia="zh-CN"/>
        </w:rPr>
      </w:pPr>
      <w:r>
        <w:rPr>
          <w:rFonts w:hint="default"/>
          <w:sz w:val="21"/>
          <w:szCs w:val="21"/>
          <w:highlight w:val="none"/>
          <w:lang w:val="en-US" w:eastAsia="zh-CN"/>
        </w:rPr>
        <w:t>表格的 HTML 代码被建模为一棵树：</w:t>
      </w:r>
      <w:r>
        <w:rPr>
          <w:rFonts w:hint="default"/>
          <w:color w:val="0000FF"/>
          <w:sz w:val="21"/>
          <w:szCs w:val="21"/>
          <w:highlight w:val="none"/>
          <w:lang w:val="en-US" w:eastAsia="zh-CN"/>
        </w:rPr>
        <w:t>根节点</w:t>
      </w:r>
      <w:r>
        <w:rPr>
          <w:rFonts w:hint="default"/>
          <w:sz w:val="21"/>
          <w:szCs w:val="21"/>
          <w:highlight w:val="none"/>
          <w:lang w:val="en-US" w:eastAsia="zh-CN"/>
        </w:rPr>
        <w:t>包含 &lt;thead&gt; 和 &lt;tbody&gt;，它们的子节点是</w:t>
      </w:r>
      <w:r>
        <w:rPr>
          <w:rFonts w:hint="default"/>
          <w:color w:val="0000FF"/>
          <w:sz w:val="21"/>
          <w:szCs w:val="21"/>
          <w:highlight w:val="none"/>
          <w:lang w:val="en-US" w:eastAsia="zh-CN"/>
        </w:rPr>
        <w:t>行标签</w:t>
      </w:r>
      <w:r>
        <w:rPr>
          <w:rFonts w:hint="default"/>
          <w:sz w:val="21"/>
          <w:szCs w:val="21"/>
          <w:highlight w:val="none"/>
          <w:lang w:val="en-US" w:eastAsia="zh-CN"/>
        </w:rPr>
        <w:t xml:space="preserve"> &lt;tr&gt;，</w:t>
      </w:r>
      <w:r>
        <w:rPr>
          <w:rFonts w:hint="default"/>
          <w:color w:val="0000FF"/>
          <w:sz w:val="21"/>
          <w:szCs w:val="21"/>
          <w:highlight w:val="none"/>
          <w:lang w:val="en-US" w:eastAsia="zh-CN"/>
        </w:rPr>
        <w:t>叶子节点</w:t>
      </w:r>
      <w:r>
        <w:rPr>
          <w:rFonts w:hint="default"/>
          <w:sz w:val="21"/>
          <w:szCs w:val="21"/>
          <w:highlight w:val="none"/>
          <w:lang w:val="en-US" w:eastAsia="zh-CN"/>
        </w:rPr>
        <w:t>是单元格标签 &lt;td&gt;。每个 &lt;td&gt; 节点带有三个属性：colspan（跨列数）、rowspan（跨行数）和 content（文本内容）。</w:t>
      </w:r>
    </w:p>
    <w:p w14:paraId="7D6704A8">
      <w:pPr>
        <w:keepNext w:val="0"/>
        <w:keepLines w:val="0"/>
        <w:pageBreakBefore w:val="0"/>
        <w:widowControl w:val="0"/>
        <w:numPr>
          <w:ilvl w:val="0"/>
          <w:numId w:val="1"/>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树编辑距离（Tree-Edit Distance）的</w:t>
      </w:r>
      <w:r>
        <w:rPr>
          <w:rFonts w:hint="eastAsia"/>
          <w:sz w:val="21"/>
          <w:szCs w:val="21"/>
          <w:highlight w:val="yellow"/>
          <w:lang w:val="en-US" w:eastAsia="zh-CN"/>
        </w:rPr>
        <w:t>惩罚机制</w:t>
      </w:r>
    </w:p>
    <w:p w14:paraId="7835725B">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default"/>
          <w:sz w:val="21"/>
          <w:szCs w:val="21"/>
          <w:highlight w:val="none"/>
          <w:lang w:val="en-US" w:eastAsia="zh-CN"/>
        </w:rPr>
        <w:t>TEDS 通过计算把“预测表格树”转换成“真实表格树”所需的操作代价来衡量差异。</w:t>
      </w:r>
      <w:r>
        <w:rPr>
          <w:rFonts w:hint="eastAsia"/>
          <w:sz w:val="21"/>
          <w:szCs w:val="21"/>
          <w:highlight w:val="none"/>
          <w:lang w:val="en-US" w:eastAsia="zh-CN"/>
        </w:rPr>
        <w:t>（删除、添加、替换）</w:t>
      </w:r>
    </w:p>
    <w:p w14:paraId="3121A654">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default"/>
          <w:sz w:val="21"/>
          <w:szCs w:val="21"/>
          <w:highlight w:val="none"/>
          <w:lang w:val="en-US" w:eastAsia="zh-CN"/>
        </w:rPr>
      </w:pPr>
      <w:r>
        <w:rPr>
          <w:rFonts w:hint="default"/>
          <w:sz w:val="21"/>
          <w:szCs w:val="21"/>
          <w:highlight w:val="none"/>
          <w:lang w:val="en-US" w:eastAsia="zh-CN"/>
        </w:rPr>
        <w:drawing>
          <wp:inline distT="0" distB="0" distL="114300" distR="114300">
            <wp:extent cx="3368040" cy="732790"/>
            <wp:effectExtent l="0" t="0" r="10160" b="3810"/>
            <wp:docPr id="1" name="图片 1" descr="局部截取_20260707_10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局部截取_20260707_103756"/>
                    <pic:cNvPicPr>
                      <a:picLocks noChangeAspect="1"/>
                    </pic:cNvPicPr>
                  </pic:nvPicPr>
                  <pic:blipFill>
                    <a:blip r:embed="rId4"/>
                    <a:srcRect t="2780"/>
                    <a:stretch>
                      <a:fillRect/>
                    </a:stretch>
                  </pic:blipFill>
                  <pic:spPr>
                    <a:xfrm>
                      <a:off x="0" y="0"/>
                      <a:ext cx="3368040" cy="732790"/>
                    </a:xfrm>
                    <a:prstGeom prst="rect">
                      <a:avLst/>
                    </a:prstGeom>
                  </pic:spPr>
                </pic:pic>
              </a:graphicData>
            </a:graphic>
          </wp:inline>
        </w:drawing>
      </w:r>
    </w:p>
    <w:p w14:paraId="77C66B7C">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优点：与传统的邻接关系（Adjacency Relation）评估指标相比，TEDS 的优势在于它能通过全局树结构精准捕获空单元格及多跳错位问题；同时，利用</w:t>
      </w:r>
      <w:r>
        <w:rPr>
          <w:rFonts w:hint="eastAsia"/>
          <w:sz w:val="21"/>
          <w:szCs w:val="21"/>
          <w:highlight w:val="yellow"/>
          <w:lang w:val="en-US" w:eastAsia="zh-CN"/>
        </w:rPr>
        <w:t>莱文斯坦距离（结构完全正确时，惩罚不再是0/1）</w:t>
      </w:r>
      <w:r>
        <w:rPr>
          <w:rFonts w:hint="eastAsia"/>
          <w:sz w:val="21"/>
          <w:szCs w:val="21"/>
          <w:highlight w:val="none"/>
          <w:lang w:val="en-US" w:eastAsia="zh-CN"/>
        </w:rPr>
        <w:t>，它缓解了传统指标对细微 OCR 错误过度惩罚的缺陷，提供了更符合人类直觉的表格恢复质量评估。</w:t>
      </w:r>
    </w:p>
    <w:p w14:paraId="0A9E21EA">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p>
    <w:p w14:paraId="0FB6825F">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HTML识别标准：</w:t>
      </w:r>
    </w:p>
    <w:p w14:paraId="32A91DC1">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利用 HTML 标记语言（标签体系）来精确定义、描述和还原一张表格图像的逻辑结构与内容规范。</w:t>
      </w:r>
    </w:p>
    <w:p w14:paraId="18DC5435">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AI 必须使用标准的 HTML 网页标签来序列化地表达表格的层次关系：</w:t>
      </w:r>
    </w:p>
    <w:p w14:paraId="3F920867">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&lt;table&gt;：声明这是一个表格。</w:t>
      </w:r>
    </w:p>
    <w:p w14:paraId="4125D5C5">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&lt;thead&gt; 和 &lt;tbody&gt;：区分表头区域（通常包含列名）和数据主体区域。</w:t>
      </w:r>
    </w:p>
    <w:p w14:paraId="628C524B">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&lt;tr&gt;（Table Row）：代表表格的“行”。</w:t>
      </w:r>
    </w:p>
    <w:p w14:paraId="0D237F5F">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&lt;td&gt;（Table Data）：代表最基础的“单元格”。</w:t>
      </w:r>
    </w:p>
    <w:p w14:paraId="00D17780">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p>
    <w:p w14:paraId="174040AC">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现有真实数据集在视觉样式和多样性的局限：</w:t>
      </w:r>
    </w:p>
    <w:p w14:paraId="6E85AE4F">
      <w:pPr>
        <w:keepNext w:val="0"/>
        <w:keepLines w:val="0"/>
        <w:pageBreakBefore w:val="0"/>
        <w:widowControl w:val="0"/>
        <w:numPr>
          <w:ilvl w:val="0"/>
          <w:numId w:val="2"/>
        </w:numPr>
        <w:kinsoku/>
        <w:wordWrap/>
        <w:overflowPunct/>
        <w:topLinePunct w:val="0"/>
        <w:autoSpaceDE/>
        <w:autoSpaceDN/>
        <w:bidi w:val="0"/>
        <w:adjustRightInd/>
        <w:snapToGrid/>
        <w:spacing w:line="279" w:lineRule="auto"/>
        <w:ind w:left="420" w:leftChars="0" w:hanging="420" w:firstLineChars="0"/>
        <w:jc w:val="both"/>
        <w:textAlignment w:val="auto"/>
        <w:rPr>
          <w:rFonts w:hint="default"/>
          <w:sz w:val="21"/>
          <w:szCs w:val="21"/>
          <w:highlight w:val="none"/>
          <w:lang w:val="en-US" w:eastAsia="zh-CN"/>
        </w:rPr>
      </w:pPr>
      <w:r>
        <w:rPr>
          <w:rFonts w:hint="default"/>
          <w:sz w:val="21"/>
          <w:szCs w:val="21"/>
          <w:highlight w:val="none"/>
          <w:lang w:val="en-US" w:eastAsia="zh-CN"/>
        </w:rPr>
        <w:t>领域和排版风格的极度单一</w:t>
      </w:r>
    </w:p>
    <w:p w14:paraId="7681063D">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科学文献数据集（如 PubTabNet、PubTables-1M）&lt;高度集中于科学文献库，样式单一，多为黑白印刷体、无框三线表、垂直表头，缺乏真实的彩色边框、异形边框和异构布局&gt;</w:t>
      </w:r>
    </w:p>
    <w:p w14:paraId="142505D6">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p>
    <w:p w14:paraId="65A29EC6">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default"/>
          <w:sz w:val="21"/>
          <w:szCs w:val="21"/>
          <w:highlight w:val="none"/>
          <w:lang w:val="en-US" w:eastAsia="zh-CN"/>
        </w:rPr>
        <w:t>金融财务数据集（如 FinTabNet）</w:t>
      </w:r>
      <w:r>
        <w:rPr>
          <w:rFonts w:hint="eastAsia"/>
          <w:sz w:val="21"/>
          <w:szCs w:val="21"/>
          <w:highlight w:val="none"/>
          <w:lang w:val="en-US" w:eastAsia="zh-CN"/>
        </w:rPr>
        <w:t>&lt;排版受到金融领域的固定排版规范&gt;</w:t>
      </w:r>
    </w:p>
    <w:p w14:paraId="4AD18B5C">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p>
    <w:p w14:paraId="428E8351">
      <w:pPr>
        <w:keepNext w:val="0"/>
        <w:keepLines w:val="0"/>
        <w:pageBreakBefore w:val="0"/>
        <w:widowControl w:val="0"/>
        <w:numPr>
          <w:ilvl w:val="0"/>
          <w:numId w:val="2"/>
        </w:numPr>
        <w:kinsoku/>
        <w:wordWrap/>
        <w:overflowPunct/>
        <w:topLinePunct w:val="0"/>
        <w:autoSpaceDE/>
        <w:autoSpaceDN/>
        <w:bidi w:val="0"/>
        <w:adjustRightInd/>
        <w:snapToGrid/>
        <w:spacing w:line="279" w:lineRule="auto"/>
        <w:ind w:left="420" w:leftChars="0" w:hanging="420" w:firstLineChars="0"/>
        <w:jc w:val="both"/>
        <w:textAlignment w:val="auto"/>
        <w:rPr>
          <w:rFonts w:hint="default"/>
          <w:sz w:val="21"/>
          <w:szCs w:val="21"/>
          <w:highlight w:val="none"/>
          <w:lang w:val="en-US" w:eastAsia="zh-CN"/>
        </w:rPr>
      </w:pPr>
      <w:r>
        <w:rPr>
          <w:rFonts w:hint="default"/>
          <w:sz w:val="21"/>
          <w:szCs w:val="21"/>
          <w:highlight w:val="none"/>
          <w:lang w:val="en-US" w:eastAsia="zh-CN"/>
        </w:rPr>
        <w:t>跨领域迁移时的“断崖式”性能下跌（跨域泛化差）</w:t>
      </w:r>
    </w:p>
    <w:p w14:paraId="1232054C">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default"/>
          <w:sz w:val="21"/>
          <w:szCs w:val="21"/>
          <w:highlight w:val="none"/>
          <w:lang w:val="en-US" w:eastAsia="zh-CN"/>
        </w:rPr>
        <w:t>TableBank 的跨域实验</w:t>
      </w:r>
      <w:r>
        <w:rPr>
          <w:rFonts w:hint="eastAsia"/>
          <w:sz w:val="21"/>
          <w:szCs w:val="21"/>
          <w:highlight w:val="none"/>
          <w:lang w:val="en-US" w:eastAsia="zh-CN"/>
        </w:rPr>
        <w:t>：由word生成的模型预测Latex编译的表格，precision与F1均下降（反之亦然）</w:t>
      </w:r>
    </w:p>
    <w:p w14:paraId="7D47C444">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失效原因：来自不同类型文档的表格具有完全不同的视觉外观（三线表无法预测颜色鲜艳的word表格）</w:t>
      </w:r>
    </w:p>
    <w:p w14:paraId="6E15A024">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default"/>
          <w:sz w:val="21"/>
          <w:szCs w:val="21"/>
          <w:highlight w:val="none"/>
          <w:lang w:val="en-US" w:eastAsia="zh-CN"/>
        </w:rPr>
      </w:pPr>
      <w:r>
        <w:rPr>
          <w:rFonts w:hint="default"/>
          <w:sz w:val="21"/>
          <w:szCs w:val="21"/>
          <w:highlight w:val="none"/>
          <w:lang w:val="en-US" w:eastAsia="zh-CN"/>
        </w:rPr>
        <w:t>这说明现有真实数据集根本无法覆盖真实世界中“开放域（Open-domain）”的样式多样性</w:t>
      </w:r>
    </w:p>
    <w:p w14:paraId="32F0BB40">
      <w:pPr>
        <w:keepNext w:val="0"/>
        <w:keepLines w:val="0"/>
        <w:pageBreakBefore w:val="0"/>
        <w:widowControl w:val="0"/>
        <w:numPr>
          <w:ilvl w:val="0"/>
          <w:numId w:val="0"/>
        </w:numPr>
        <w:kinsoku/>
        <w:wordWrap/>
        <w:overflowPunct/>
        <w:topLinePunct w:val="0"/>
        <w:autoSpaceDE/>
        <w:autoSpaceDN/>
        <w:bidi w:val="0"/>
        <w:adjustRightInd/>
        <w:snapToGrid/>
        <w:spacing w:line="279" w:lineRule="auto"/>
        <w:ind w:leftChars="0"/>
        <w:jc w:val="both"/>
        <w:textAlignment w:val="auto"/>
        <w:rPr>
          <w:rFonts w:hint="eastAsia"/>
          <w:sz w:val="21"/>
          <w:szCs w:val="21"/>
          <w:highlight w:val="none"/>
          <w:lang w:val="en-US" w:eastAsia="zh-CN"/>
        </w:rPr>
      </w:pPr>
    </w:p>
    <w:p w14:paraId="73320500">
      <w:pPr>
        <w:keepNext w:val="0"/>
        <w:keepLines w:val="0"/>
        <w:pageBreakBefore w:val="0"/>
        <w:widowControl w:val="0"/>
        <w:numPr>
          <w:ilvl w:val="0"/>
          <w:numId w:val="2"/>
        </w:numPr>
        <w:kinsoku/>
        <w:wordWrap/>
        <w:overflowPunct/>
        <w:topLinePunct w:val="0"/>
        <w:autoSpaceDE/>
        <w:autoSpaceDN/>
        <w:bidi w:val="0"/>
        <w:adjustRightInd/>
        <w:snapToGrid/>
        <w:spacing w:line="279" w:lineRule="auto"/>
        <w:ind w:left="420" w:leftChars="0" w:hanging="420" w:firstLineChars="0"/>
        <w:jc w:val="both"/>
        <w:textAlignment w:val="auto"/>
        <w:rPr>
          <w:rFonts w:hint="eastAsia"/>
          <w:sz w:val="21"/>
          <w:szCs w:val="21"/>
          <w:highlight w:val="none"/>
          <w:lang w:val="en-US" w:eastAsia="zh-CN"/>
        </w:rPr>
      </w:pPr>
      <w:r>
        <w:rPr>
          <w:rFonts w:hint="default"/>
          <w:sz w:val="21"/>
          <w:szCs w:val="21"/>
          <w:highlight w:val="none"/>
          <w:lang w:val="en-US" w:eastAsia="zh-CN"/>
        </w:rPr>
        <w:t>长尾复杂结构的样本密度极低，无法“按需控制”</w:t>
      </w:r>
    </w:p>
    <w:p w14:paraId="101A9944">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客观分布的限制：真实表格绝大多是结构简单的常规表</w:t>
      </w:r>
    </w:p>
    <w:p w14:paraId="0A11B4C9">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r>
        <w:rPr>
          <w:rFonts w:hint="eastAsia"/>
          <w:sz w:val="21"/>
          <w:szCs w:val="21"/>
          <w:highlight w:val="none"/>
          <w:lang w:val="en-US" w:eastAsia="zh-CN"/>
        </w:rPr>
        <w:t>无法实现可控生成：“长尾复杂表格”(极端跨行、跨列、多层嵌套、或无线/无线框混合)占比非常低，无法实现Agent“主动控制并按需提高复杂样本的生成比例”</w:t>
      </w:r>
    </w:p>
    <w:p w14:paraId="7BA7A63A">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1"/>
          <w:szCs w:val="21"/>
          <w:highlight w:val="none"/>
          <w:lang w:val="en-US" w:eastAsia="zh-CN"/>
        </w:rPr>
      </w:pPr>
    </w:p>
    <w:p w14:paraId="0AC492C4">
      <w:pPr>
        <w:keepNext w:val="0"/>
        <w:keepLines w:val="0"/>
        <w:pageBreakBefore w:val="0"/>
        <w:widowControl w:val="0"/>
        <w:numPr>
          <w:ilvl w:val="0"/>
          <w:numId w:val="2"/>
        </w:numPr>
        <w:kinsoku/>
        <w:wordWrap/>
        <w:overflowPunct/>
        <w:topLinePunct w:val="0"/>
        <w:autoSpaceDE/>
        <w:autoSpaceDN/>
        <w:bidi w:val="0"/>
        <w:adjustRightInd/>
        <w:snapToGrid/>
        <w:spacing w:line="279" w:lineRule="auto"/>
        <w:ind w:left="420" w:leftChars="0" w:hanging="420" w:firstLineChars="0"/>
        <w:jc w:val="both"/>
        <w:textAlignment w:val="auto"/>
        <w:rPr>
          <w:rFonts w:hint="default"/>
          <w:sz w:val="21"/>
          <w:szCs w:val="21"/>
          <w:highlight w:val="none"/>
          <w:lang w:val="en-US" w:eastAsia="zh-CN"/>
        </w:rPr>
      </w:pPr>
      <w:r>
        <w:rPr>
          <w:rFonts w:hint="default"/>
          <w:sz w:val="21"/>
          <w:szCs w:val="21"/>
          <w:highlight w:val="none"/>
          <w:lang w:val="en-US" w:eastAsia="zh-CN"/>
        </w:rPr>
        <w:t>真实文档解析所固有的标注噪点与歧义</w:t>
      </w:r>
    </w:p>
    <w:p w14:paraId="13966B25">
      <w:pPr>
        <w:rPr>
          <w:rFonts w:hint="eastAsia"/>
          <w:lang w:val="en-US" w:eastAsia="zh-CN"/>
        </w:rPr>
      </w:pPr>
      <w:r>
        <w:rPr>
          <w:rFonts w:hint="default"/>
          <w:lang w:val="en-US" w:eastAsia="zh-CN"/>
        </w:rPr>
        <w:t>“过度分割（Oversegmentation）”问题</w:t>
      </w:r>
      <w:r>
        <w:rPr>
          <w:rFonts w:hint="eastAsia"/>
          <w:lang w:val="en-US" w:eastAsia="zh-CN"/>
        </w:rPr>
        <w:t>：在利用网页HTML/XML源码映射PDF图像作为标签时，会出现将居中跨列的表头划分为多个空白单元格</w:t>
      </w:r>
    </w:p>
    <w:p w14:paraId="50FC482C">
      <w:pPr>
        <w:rPr>
          <w:rFonts w:hint="default"/>
          <w:lang w:val="en-US" w:eastAsia="zh-CN"/>
        </w:rPr>
      </w:pPr>
    </w:p>
    <w:p w14:paraId="36A389C4">
      <w:pPr>
        <w:rPr>
          <w:rFonts w:hint="eastAsia"/>
          <w:lang w:val="en-US" w:eastAsia="zh-CN"/>
        </w:rPr>
      </w:pPr>
      <w:r>
        <w:rPr>
          <w:rFonts w:hint="default"/>
          <w:lang w:val="en-US" w:eastAsia="zh-CN"/>
        </w:rPr>
        <w:t>对训练的伤害</w:t>
      </w:r>
      <w:r>
        <w:rPr>
          <w:rFonts w:hint="eastAsia"/>
          <w:lang w:val="en-US" w:eastAsia="zh-CN"/>
        </w:rPr>
        <w:t>：真是文档在视觉上将边框线隐藏了，导致人类读者容易感知的语义在自动生成的标签中却包含了大量空白表格，这种 ground truth 的不一致和歧义性，使得深度学习模型难以学到干净、一致的表格几何分布与视觉特征。</w:t>
      </w:r>
    </w:p>
    <w:p w14:paraId="67378329">
      <w:pPr>
        <w:rPr>
          <w:rFonts w:hint="eastAsia"/>
          <w:lang w:val="en-US" w:eastAsia="zh-CN"/>
        </w:rPr>
      </w:pPr>
    </w:p>
    <w:p w14:paraId="7EFCFA8D">
      <w:pPr>
        <w:rPr>
          <w:rFonts w:hint="eastAsia"/>
          <w:lang w:val="en-US" w:eastAsia="zh-CN"/>
        </w:rPr>
      </w:pPr>
      <w:r>
        <w:rPr>
          <w:rFonts w:hint="eastAsia"/>
          <w:lang w:val="en-US" w:eastAsia="zh-CN"/>
        </w:rPr>
        <w:t>总结：在这些论文的论述中，现有真实数据集的局限性可以总结为一句话：“成也真实，败也真实”。正因为它们是真实抽取的，所以视觉上受限于学术/金融等特定领域的刻板排版 ，结构上无法摆脱长尾复杂样本稀缺的固有分布 ，标签上还夹杂着代码层面的 oversegmentation 噪点 。这就为类似 TableNet 这样致力于利用 LLM 多智能体驱动、可精准控制 HTML 结构与语义多样性的自主合成数据集留出了巨大的立论和创新空间</w:t>
      </w:r>
    </w:p>
    <w:p w14:paraId="61159EE9">
      <w:pPr>
        <w:rPr>
          <w:rFonts w:hint="eastAsia"/>
          <w:lang w:val="en-US" w:eastAsia="zh-CN"/>
        </w:rPr>
      </w:pPr>
    </w:p>
    <w:p w14:paraId="6850381B">
      <w:pPr>
        <w:rPr>
          <w:rFonts w:hint="eastAsia"/>
          <w:lang w:val="en-US" w:eastAsia="zh-CN"/>
        </w:rPr>
      </w:pPr>
    </w:p>
    <w:p w14:paraId="441EE966">
      <w:pPr>
        <w:rPr>
          <w:rFonts w:hint="eastAsia"/>
          <w:lang w:val="en-US" w:eastAsia="zh-CN"/>
        </w:rPr>
      </w:pPr>
      <w:r>
        <w:rPr>
          <w:rFonts w:hint="eastAsia"/>
          <w:highlight w:val="yellow"/>
          <w:lang w:val="en-US" w:eastAsia="zh-CN"/>
        </w:rPr>
        <w:t>TableFormer</w:t>
      </w:r>
      <w:r>
        <w:rPr>
          <w:rFonts w:hint="eastAsia"/>
          <w:lang w:val="en-US" w:eastAsia="zh-CN"/>
        </w:rPr>
        <w:t>：TableFormer 的核心贡献在于对经典端到端模型（如 PubTabNet 的 EDD 架构）进行了底层组件的升级：</w:t>
      </w:r>
    </w:p>
    <w:p w14:paraId="6D0169B1">
      <w:pPr>
        <w:rPr>
          <w:rFonts w:hint="default"/>
          <w:lang w:val="en-US" w:eastAsia="zh-CN"/>
        </w:rPr>
      </w:pPr>
      <w:r>
        <w:rPr>
          <w:rFonts w:hint="eastAsia"/>
          <w:lang w:val="en-US" w:eastAsia="zh-CN"/>
        </w:rPr>
        <w:t>架构升级：使用Transformer 解码器替代了传统的LSTM解码器，极大地提升了模型处理长序列和复杂对齐的准确率。</w:t>
      </w:r>
    </w:p>
    <w:p w14:paraId="616FA4A0">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OCR-free尝试：引入一个面向单元格的目标检测解码器，尝试直接从程序化 PDF 的源头获取单元格内容，从而规避了训练定制化 OCR 解码器的麻烦。</w:t>
      </w:r>
    </w:p>
    <w:p w14:paraId="42B7364E">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p>
    <w:p w14:paraId="524BA60C">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highlight w:val="yellow"/>
          <w:lang w:val="en-US" w:eastAsia="zh-CN"/>
        </w:rPr>
        <w:t>EDD</w:t>
      </w:r>
      <w:r>
        <w:rPr>
          <w:rFonts w:hint="eastAsia"/>
          <w:lang w:val="en-US" w:eastAsia="zh-CN"/>
        </w:rPr>
        <w:t>（Encoder-Dual-Decoder，编码器-双解码器）：端到端的深度学习架构，仅依靠</w:t>
      </w:r>
      <w:r>
        <w:rPr>
          <w:rFonts w:hint="eastAsia"/>
          <w:highlight w:val="yellow"/>
          <w:lang w:val="en-US" w:eastAsia="zh-CN"/>
        </w:rPr>
        <w:t>视觉特征</w:t>
      </w:r>
      <w:r>
        <w:rPr>
          <w:rFonts w:hint="eastAsia"/>
          <w:lang w:val="en-US" w:eastAsia="zh-CN"/>
        </w:rPr>
        <w:t>，将输入的</w:t>
      </w:r>
      <w:r>
        <w:rPr>
          <w:rFonts w:hint="eastAsia"/>
          <w:highlight w:val="yellow"/>
          <w:lang w:val="en-US" w:eastAsia="zh-CN"/>
        </w:rPr>
        <w:t>表格图像</w:t>
      </w:r>
      <w:r>
        <w:rPr>
          <w:rFonts w:hint="eastAsia"/>
          <w:lang w:val="en-US" w:eastAsia="zh-CN"/>
        </w:rPr>
        <w:t>直接转换为包含</w:t>
      </w:r>
      <w:r>
        <w:rPr>
          <w:rFonts w:hint="eastAsia"/>
          <w:highlight w:val="yellow"/>
          <w:lang w:val="en-US" w:eastAsia="zh-CN"/>
        </w:rPr>
        <w:t>完整结构和文本内容的 HTML 代码</w:t>
      </w:r>
      <w:r>
        <w:rPr>
          <w:rFonts w:hint="eastAsia"/>
          <w:lang w:val="en-US" w:eastAsia="zh-CN"/>
        </w:rPr>
        <w:t>。</w:t>
      </w:r>
    </w:p>
    <w:p w14:paraId="79533057">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三个高度协同的板块：</w:t>
      </w:r>
    </w:p>
    <w:p w14:paraId="3AB1B754">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编码器：CNN（卷积神经网络）构成，接受表格图像，捕捉视觉特征</w:t>
      </w:r>
    </w:p>
    <w:p w14:paraId="2B2D60B9">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default"/>
          <w:lang w:val="en-US" w:eastAsia="zh-CN"/>
        </w:rPr>
      </w:pPr>
      <w:r>
        <w:rPr>
          <w:rFonts w:hint="eastAsia"/>
          <w:lang w:val="en-US" w:eastAsia="zh-CN"/>
        </w:rPr>
        <w:t>结构解码器：带有注意力机制的RNN（循环神经网络），任务专一，重建表格“骨架”，预测并生成带有纯HTML结构标签的序列</w:t>
      </w:r>
    </w:p>
    <w:p w14:paraId="50F38C4F">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单元格解码器：注意力机制的RNN，专门识别并输出具体某个单元格的文本内容</w:t>
      </w:r>
    </w:p>
    <w:p w14:paraId="50621450">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p>
    <w:p w14:paraId="19F83D76">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定制化 OCR 解码器：专门用于识别表格内的内容，内置在表格识别大模型内部的“识字网络”（通常是 RNN 或 Transformer）</w:t>
      </w:r>
    </w:p>
    <w:p w14:paraId="380766D3">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存在的问题：训练成本高，“多语言”壁垒，联合训练导致的跷跷板效应（优化HTML结构的loss与优化OCR字符识别的loss，任务难度与收敛速度不一致，容易出现结构好内容不行或者相反的情况）</w:t>
      </w:r>
    </w:p>
    <w:p w14:paraId="757AB520">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p>
    <w:p w14:paraId="438422D8">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default"/>
          <w:lang w:val="en-US" w:eastAsia="zh-CN"/>
        </w:rPr>
      </w:pPr>
      <w:r>
        <w:rPr>
          <w:rFonts w:hint="default"/>
          <w:lang w:val="en-US" w:eastAsia="zh-CN"/>
        </w:rPr>
        <w:t>TableFormer</w:t>
      </w:r>
      <w:r>
        <w:rPr>
          <w:rFonts w:hint="eastAsia"/>
          <w:lang w:val="en-US" w:eastAsia="zh-CN"/>
        </w:rPr>
        <w:t>如何解决？</w:t>
      </w:r>
    </w:p>
    <w:p w14:paraId="43E85AAA">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抛弃识别字符，训练与测试的PDF大多是程序生成的，那么PDF底层本身存储了文字的真实字符代码。创建目标检测器，让模型在图片中精准画出每个单元格的边框，然后再通过坐标找到PDF底层代码中的文字部分，然后复制出来。</w:t>
      </w:r>
    </w:p>
    <w:p w14:paraId="516C5676">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p>
    <w:p w14:paraId="49B51AFD">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default"/>
          <w:lang w:val="en-US" w:eastAsia="zh-CN"/>
        </w:rPr>
      </w:pPr>
      <w:r>
        <w:rPr>
          <w:rFonts w:hint="default"/>
          <w:highlight w:val="yellow"/>
          <w:lang w:val="en-US" w:eastAsia="zh-CN"/>
        </w:rPr>
        <w:t>SynthTabNet</w:t>
      </w:r>
      <w:r>
        <w:rPr>
          <w:rFonts w:hint="default"/>
          <w:lang w:val="en-US" w:eastAsia="zh-CN"/>
        </w:rPr>
        <w:t xml:space="preserve"> 程序化合成策略的四大核心不足</w:t>
      </w:r>
      <w:r>
        <w:rPr>
          <w:rFonts w:hint="eastAsia"/>
          <w:lang w:val="en-US" w:eastAsia="zh-CN"/>
        </w:rPr>
        <w:t>：</w:t>
      </w:r>
    </w:p>
    <w:p w14:paraId="532530CE">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传统的程序化数据合成（如 SynthTabNet）通常是通过</w:t>
      </w:r>
      <w:r>
        <w:rPr>
          <w:rFonts w:hint="eastAsia"/>
          <w:highlight w:val="yellow"/>
          <w:lang w:val="en-US" w:eastAsia="zh-CN"/>
        </w:rPr>
        <w:t>代码脚本</w:t>
      </w:r>
      <w:r>
        <w:rPr>
          <w:rFonts w:hint="eastAsia"/>
          <w:lang w:val="en-US" w:eastAsia="zh-CN"/>
        </w:rPr>
        <w:t>，预先设定好表格的行列范围、合并单元格的概率、几种固定的线型（如三线表、全线表）和底色，然后从语料库中随机抽取文本填入格子中。这种策略在面对真实的、长尾的表格理解任务时，存在以下致命缺陷：</w:t>
      </w:r>
    </w:p>
    <w:p w14:paraId="2B1FA88A">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①语义内容无逻辑：随机合成，丧失真实的业务逻辑与科学逻辑，现代多模态（VLM/LLM）非常依赖上下文的语义线索来辅助结构推理，SynthTabNet 的“语义荒漠”无法训练模型利用常识和业务逻辑去补全或修正复杂的表格骨架。</w:t>
      </w:r>
    </w:p>
    <w:p w14:paraId="11E70595">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②视觉样式僵硬与长尾缺失：代码脚本定义设置参数终归是离散且有限的，概率组合之后的表格也是缺少现实表格的多样性。现实世界的表格视觉样式复杂（渐变色背景、异形高亮、拍照扭曲等），泛化能力容易出现断崖式下跌。</w:t>
      </w:r>
    </w:p>
    <w:p w14:paraId="0D3BB171">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default"/>
          <w:lang w:val="en-US" w:eastAsia="zh-CN"/>
        </w:rPr>
      </w:pPr>
      <w:r>
        <w:rPr>
          <w:rFonts w:hint="eastAsia"/>
          <w:lang w:val="en-US" w:eastAsia="zh-CN"/>
        </w:rPr>
        <w:t>③结构变体的公式化与缺乏动态适应：虽然SynthTabNet中有跨行跨列的配置，但是生成逻辑是按照硬编码的概率函数计算出来的。这种“公式化”的结构缺乏有实际现实意义的“动态变体”</w:t>
      </w:r>
    </w:p>
    <w:p w14:paraId="0705ED49">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④缺乏表格与上下文生态的解耦融合：表格图像片段通常是孤立的，无法模拟真实表格中表格与周围图表、段落文字等之间的“空间排挤”和“语义互动”。</w:t>
      </w:r>
    </w:p>
    <w:p w14:paraId="76B44755">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p>
    <w:p w14:paraId="35FF18EE">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总结：尽管像 TableFormer 等前作通过引入</w:t>
      </w:r>
      <w:r>
        <w:rPr>
          <w:rFonts w:hint="eastAsia"/>
          <w:highlight w:val="yellow"/>
          <w:lang w:val="en-US" w:eastAsia="zh-CN"/>
        </w:rPr>
        <w:t xml:space="preserve"> Transformer 解码器</w:t>
      </w:r>
      <w:r>
        <w:rPr>
          <w:rFonts w:hint="eastAsia"/>
          <w:lang w:val="en-US" w:eastAsia="zh-CN"/>
        </w:rPr>
        <w:t>极大提升了结构识别性能，并配套推出了合成数据集 SynthTabNet，但这类传统合成数据高度依赖僵硬的程序化规则与固定代码模板。这导致生成的表格普遍存在语义逻辑脱节、视觉样式离散、以及无法覆盖真实世界长尾异构布局等缺陷。相比之下，本工作（TableNet）提出由 LLM 多智能体驱动的自主生成系统，不仅由工具和规则确保了底层 HTML 结构的绝对稳定，更利用大语言模型的广博知识赋予了表格极高的人类业务语义逻辑与跨领域的视觉/排版多样性。</w:t>
      </w:r>
    </w:p>
    <w:p w14:paraId="241F490B">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p>
    <w:p w14:paraId="7ED7CFC1">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highlight w:val="yellow"/>
          <w:lang w:val="en-US" w:eastAsia="zh-CN"/>
        </w:rPr>
      </w:pPr>
      <w:r>
        <w:rPr>
          <w:rFonts w:hint="eastAsia"/>
          <w:highlight w:val="yellow"/>
          <w:lang w:val="en-US" w:eastAsia="zh-CN"/>
        </w:rPr>
        <w:t>Core-Set主动学习方法：</w:t>
      </w:r>
    </w:p>
    <w:p w14:paraId="3EF7A3EC">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不确定采样：只挑高难度的样本，容易出现高度相似、信息冗余的样本</w:t>
      </w:r>
    </w:p>
    <w:p w14:paraId="282443BE">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核心集（Core-set）方法：先挑出k个代表性样本，以其作为基站，让剩下未标注的样本距离其尽可能近&lt;</w:t>
      </w:r>
      <w:r>
        <w:rPr>
          <w:rFonts w:hint="eastAsia"/>
          <w:highlight w:val="yellow"/>
          <w:lang w:val="en-US" w:eastAsia="zh-CN"/>
        </w:rPr>
        <w:t>覆盖</w:t>
      </w:r>
      <w:r>
        <w:rPr>
          <w:rFonts w:hint="eastAsia"/>
          <w:lang w:val="en-US" w:eastAsia="zh-CN"/>
        </w:rPr>
        <w:t>&gt;</w:t>
      </w:r>
    </w:p>
    <w:p w14:paraId="091EC7ED">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default"/>
          <w:lang w:val="en-US" w:eastAsia="zh-CN"/>
        </w:rPr>
      </w:pPr>
      <w:r>
        <w:rPr>
          <w:rFonts w:hint="eastAsia"/>
          <w:lang w:val="en-US" w:eastAsia="zh-CN"/>
        </w:rPr>
        <w:t>好处：通过覆盖整个数据空间的几何分布，它能天然地</w:t>
      </w:r>
      <w:r>
        <w:rPr>
          <w:rFonts w:hint="eastAsia"/>
          <w:highlight w:val="yellow"/>
          <w:lang w:val="en-US" w:eastAsia="zh-CN"/>
        </w:rPr>
        <w:t>剔除冗余样本</w:t>
      </w:r>
      <w:r>
        <w:rPr>
          <w:rFonts w:hint="eastAsia"/>
          <w:lang w:val="en-US" w:eastAsia="zh-CN"/>
        </w:rPr>
        <w:t>，确保样本的</w:t>
      </w:r>
      <w:r>
        <w:rPr>
          <w:rFonts w:hint="eastAsia"/>
          <w:highlight w:val="yellow"/>
          <w:lang w:val="en-US" w:eastAsia="zh-CN"/>
        </w:rPr>
        <w:t>多样性</w:t>
      </w:r>
      <w:r>
        <w:rPr>
          <w:rFonts w:hint="eastAsia"/>
          <w:lang w:val="en-US" w:eastAsia="zh-CN"/>
        </w:rPr>
        <w:t>。</w:t>
      </w:r>
    </w:p>
    <w:p w14:paraId="4FA1649E">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p>
    <w:p w14:paraId="53FF8F33">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Greedy k-Center 算法：贪心近似算法</w:t>
      </w:r>
    </w:p>
    <w:p w14:paraId="2064E4B9">
      <w:pPr>
        <w:keepNext w:val="0"/>
        <w:keepLines w:val="0"/>
        <w:pageBreakBefore w:val="0"/>
        <w:widowControl w:val="0"/>
        <w:numPr>
          <w:ilvl w:val="0"/>
          <w:numId w:val="3"/>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计算基准距离：对于未标注样本，计算其到</w:t>
      </w:r>
      <w:r>
        <w:rPr>
          <w:rFonts w:hint="eastAsia"/>
          <w:color w:val="0000FF"/>
          <w:lang w:val="en-US" w:eastAsia="zh-CN"/>
        </w:rPr>
        <w:t>所有已标注样本</w:t>
      </w:r>
      <w:r>
        <w:rPr>
          <w:rFonts w:hint="eastAsia"/>
          <w:lang w:val="en-US" w:eastAsia="zh-CN"/>
        </w:rPr>
        <w:t>的距离，记为孤独指数</w:t>
      </w:r>
    </w:p>
    <w:p w14:paraId="0ADFF493">
      <w:pPr>
        <w:keepNext w:val="0"/>
        <w:keepLines w:val="0"/>
        <w:pageBreakBefore w:val="0"/>
        <w:widowControl w:val="0"/>
        <w:numPr>
          <w:ilvl w:val="0"/>
          <w:numId w:val="3"/>
        </w:numPr>
        <w:kinsoku/>
        <w:wordWrap/>
        <w:overflowPunct/>
        <w:topLinePunct w:val="0"/>
        <w:autoSpaceDE/>
        <w:autoSpaceDN/>
        <w:bidi w:val="0"/>
        <w:adjustRightInd/>
        <w:snapToGrid/>
        <w:spacing w:line="279" w:lineRule="auto"/>
        <w:jc w:val="both"/>
        <w:textAlignment w:val="auto"/>
        <w:rPr>
          <w:rFonts w:hint="default"/>
          <w:lang w:val="en-US" w:eastAsia="zh-CN"/>
        </w:rPr>
      </w:pPr>
      <w:r>
        <w:rPr>
          <w:rFonts w:hint="eastAsia"/>
          <w:lang w:val="en-US" w:eastAsia="zh-CN"/>
        </w:rPr>
        <w:t>挑选第一个样本：找到在所有未标注样本中，孤独指数最大的一个，放入已标注样本集</w:t>
      </w:r>
    </w:p>
    <w:p w14:paraId="28E36C49">
      <w:pPr>
        <w:keepNext w:val="0"/>
        <w:keepLines w:val="0"/>
        <w:pageBreakBefore w:val="0"/>
        <w:widowControl w:val="0"/>
        <w:numPr>
          <w:ilvl w:val="0"/>
          <w:numId w:val="3"/>
        </w:numPr>
        <w:kinsoku/>
        <w:wordWrap/>
        <w:overflowPunct/>
        <w:topLinePunct w:val="0"/>
        <w:autoSpaceDE/>
        <w:autoSpaceDN/>
        <w:bidi w:val="0"/>
        <w:adjustRightInd/>
        <w:snapToGrid/>
        <w:spacing w:line="279" w:lineRule="auto"/>
        <w:jc w:val="both"/>
        <w:textAlignment w:val="auto"/>
        <w:rPr>
          <w:rFonts w:hint="default"/>
          <w:lang w:val="en-US" w:eastAsia="zh-CN"/>
        </w:rPr>
      </w:pPr>
      <w:r>
        <w:rPr>
          <w:rFonts w:hint="eastAsia"/>
          <w:lang w:val="en-US" w:eastAsia="zh-CN"/>
        </w:rPr>
        <w:t>动态更新：将新样本视作新基站，更新索引未标注样本的孤独指数</w:t>
      </w:r>
    </w:p>
    <w:p w14:paraId="29C3867B">
      <w:pPr>
        <w:keepNext w:val="0"/>
        <w:keepLines w:val="0"/>
        <w:pageBreakBefore w:val="0"/>
        <w:widowControl w:val="0"/>
        <w:numPr>
          <w:ilvl w:val="0"/>
          <w:numId w:val="3"/>
        </w:numPr>
        <w:kinsoku/>
        <w:wordWrap/>
        <w:overflowPunct/>
        <w:topLinePunct w:val="0"/>
        <w:autoSpaceDE/>
        <w:autoSpaceDN/>
        <w:bidi w:val="0"/>
        <w:adjustRightInd/>
        <w:snapToGrid/>
        <w:spacing w:line="279" w:lineRule="auto"/>
        <w:jc w:val="both"/>
        <w:textAlignment w:val="auto"/>
        <w:rPr>
          <w:rFonts w:hint="default"/>
          <w:lang w:val="en-US" w:eastAsia="zh-CN"/>
        </w:rPr>
      </w:pPr>
      <w:r>
        <w:rPr>
          <w:rFonts w:hint="eastAsia"/>
          <w:lang w:val="en-US" w:eastAsia="zh-CN"/>
        </w:rPr>
        <w:t>循环迭代：重复2、3，直到挑满本轮所需的批量大小b 为止。</w:t>
      </w:r>
    </w:p>
    <w:p w14:paraId="62EB54F5">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p>
    <w:p w14:paraId="3623C2DD">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r>
        <w:rPr>
          <w:rFonts w:hint="eastAsia"/>
          <w:lang w:val="en-US" w:eastAsia="zh-CN"/>
        </w:rPr>
        <w:t>样本的几何放置是通过获取</w:t>
      </w:r>
      <w:r>
        <w:rPr>
          <w:rFonts w:hint="eastAsia"/>
          <w:color w:val="0000FF"/>
          <w:lang w:val="en-US" w:eastAsia="zh-CN"/>
        </w:rPr>
        <w:t>深度学习模型</w:t>
      </w:r>
      <w:r>
        <w:rPr>
          <w:rFonts w:hint="eastAsia"/>
          <w:lang w:val="en-US" w:eastAsia="zh-CN"/>
        </w:rPr>
        <w:t>分类前层的</w:t>
      </w:r>
      <w:r>
        <w:rPr>
          <w:rFonts w:hint="eastAsia"/>
          <w:color w:val="0000FF"/>
          <w:lang w:val="en-US" w:eastAsia="zh-CN"/>
        </w:rPr>
        <w:t>高维特征向量</w:t>
      </w:r>
      <w:r>
        <w:rPr>
          <w:rFonts w:hint="eastAsia"/>
          <w:lang w:val="en-US" w:eastAsia="zh-CN"/>
        </w:rPr>
        <w:t>（Embedding）实现的（图片输入后，经由多层网络的特征提取，抽取特征向量）；而样本间距离的合法性，基于特征空间下的欧氏距离。</w:t>
      </w:r>
    </w:p>
    <w:p w14:paraId="1763BFC7">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default"/>
          <w:lang w:val="en-US" w:eastAsia="zh-CN"/>
        </w:rPr>
      </w:pPr>
    </w:p>
    <w:p w14:paraId="2305829A">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lang w:val="en-US" w:eastAsia="zh-CN"/>
        </w:rPr>
      </w:pPr>
    </w:p>
    <w:p w14:paraId="379762CC">
      <w:pPr>
        <w:keepNext w:val="0"/>
        <w:keepLines w:val="0"/>
        <w:pageBreakBefore w:val="0"/>
        <w:widowControl w:val="0"/>
        <w:numPr>
          <w:ilvl w:val="0"/>
          <w:numId w:val="0"/>
        </w:numPr>
        <w:kinsoku/>
        <w:wordWrap/>
        <w:overflowPunct/>
        <w:topLinePunct w:val="0"/>
        <w:autoSpaceDE/>
        <w:autoSpaceDN/>
        <w:bidi w:val="0"/>
        <w:adjustRightInd/>
        <w:snapToGrid/>
        <w:spacing w:line="279" w:lineRule="auto"/>
        <w:jc w:val="both"/>
        <w:textAlignment w:val="auto"/>
        <w:rPr>
          <w:rFonts w:hint="eastAsia"/>
          <w:sz w:val="24"/>
          <w:szCs w:val="24"/>
          <w:highlight w:val="yellow"/>
          <w:u w:val="single"/>
          <w:lang w:val="en-US" w:eastAsia="zh-CN"/>
        </w:rPr>
      </w:pPr>
      <w:r>
        <w:rPr>
          <w:rFonts w:hint="eastAsia"/>
          <w:sz w:val="24"/>
          <w:szCs w:val="24"/>
          <w:highlight w:val="yellow"/>
          <w:u w:val="single"/>
          <w:lang w:val="en-US" w:eastAsia="zh-CN"/>
        </w:rPr>
        <w:t>第二部分</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3"/>
        <w:gridCol w:w="3246"/>
        <w:gridCol w:w="3337"/>
      </w:tblGrid>
      <w:tr w14:paraId="697FA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758" w:type="dxa"/>
            <w:tcBorders>
              <w:top w:val="single" w:color="000000" w:sz="12" w:space="0"/>
              <w:left w:val="nil"/>
              <w:bottom w:val="single" w:color="000000" w:sz="4" w:space="0"/>
              <w:right w:val="nil"/>
              <w:tl2br w:val="nil"/>
            </w:tcBorders>
            <w:shd w:val="clear" w:color="auto" w:fill="FFFFFF"/>
            <w:vAlign w:val="center"/>
          </w:tcPr>
          <w:p w14:paraId="0688EF51">
            <w:pPr>
              <w:rPr>
                <w:rFonts w:hint="default"/>
                <w:b w:val="0"/>
                <w:color w:val="000000"/>
                <w:lang w:val="en-US" w:eastAsia="zh-CN"/>
              </w:rPr>
            </w:pPr>
            <w:r>
              <w:rPr>
                <w:rFonts w:hint="default"/>
                <w:b w:val="0"/>
                <w:color w:val="000000"/>
                <w:lang w:val="en-US" w:eastAsia="zh-CN"/>
              </w:rPr>
              <w:t>论文 / 数据集</w:t>
            </w:r>
          </w:p>
        </w:tc>
        <w:tc>
          <w:tcPr>
            <w:tcW w:w="3216" w:type="dxa"/>
            <w:tcBorders>
              <w:top w:val="single" w:color="000000" w:sz="12" w:space="0"/>
              <w:left w:val="nil"/>
              <w:bottom w:val="single" w:color="000000" w:sz="4" w:space="0"/>
              <w:right w:val="nil"/>
            </w:tcBorders>
            <w:shd w:val="clear" w:color="auto" w:fill="FFFFFF"/>
            <w:vAlign w:val="center"/>
          </w:tcPr>
          <w:p w14:paraId="41915EA1">
            <w:pPr>
              <w:rPr>
                <w:rFonts w:hint="default"/>
                <w:b w:val="0"/>
                <w:color w:val="000000"/>
                <w:lang w:val="en-US" w:eastAsia="zh-CN"/>
              </w:rPr>
            </w:pPr>
            <w:r>
              <w:rPr>
                <w:rFonts w:hint="default"/>
                <w:b w:val="0"/>
                <w:color w:val="000000"/>
                <w:lang w:val="en-US" w:eastAsia="zh-CN"/>
              </w:rPr>
              <w:t>主要内容</w:t>
            </w:r>
          </w:p>
        </w:tc>
        <w:tc>
          <w:tcPr>
            <w:tcW w:w="3292" w:type="dxa"/>
            <w:tcBorders>
              <w:top w:val="single" w:color="000000" w:sz="12" w:space="0"/>
              <w:left w:val="nil"/>
              <w:bottom w:val="single" w:color="000000" w:sz="4" w:space="0"/>
              <w:right w:val="nil"/>
            </w:tcBorders>
            <w:shd w:val="clear" w:color="auto" w:fill="FFFFFF"/>
            <w:vAlign w:val="center"/>
          </w:tcPr>
          <w:p w14:paraId="12E00A64">
            <w:pPr>
              <w:rPr>
                <w:rFonts w:hint="default"/>
                <w:b w:val="0"/>
                <w:color w:val="000000"/>
                <w:lang w:val="en-US" w:eastAsia="zh-CN"/>
              </w:rPr>
            </w:pPr>
            <w:r>
              <w:rPr>
                <w:rFonts w:hint="default"/>
                <w:b w:val="0"/>
                <w:color w:val="000000"/>
                <w:lang w:val="en-US" w:eastAsia="zh-CN"/>
              </w:rPr>
              <w:t>与 TableNet 的关系</w:t>
            </w:r>
          </w:p>
        </w:tc>
      </w:tr>
      <w:tr w14:paraId="6E1A7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58" w:type="dxa"/>
            <w:tcBorders>
              <w:top w:val="single" w:color="000000" w:sz="4" w:space="0"/>
              <w:left w:val="nil"/>
              <w:bottom w:val="nil"/>
              <w:right w:val="nil"/>
            </w:tcBorders>
            <w:shd w:val="clear" w:color="auto" w:fill="FFFFFF"/>
            <w:vAlign w:val="center"/>
          </w:tcPr>
          <w:p w14:paraId="6B1BD3CA">
            <w:pPr>
              <w:rPr>
                <w:rFonts w:hint="default"/>
                <w:b w:val="0"/>
                <w:color w:val="000000"/>
                <w:lang w:val="en-US" w:eastAsia="zh-CN"/>
              </w:rPr>
            </w:pPr>
            <w:r>
              <w:rPr>
                <w:rFonts w:hint="default"/>
                <w:b w:val="0"/>
                <w:color w:val="000000"/>
                <w:lang w:val="en-US" w:eastAsia="zh-CN"/>
              </w:rPr>
              <w:t>ICDAR / cTDaR table competition datasets</w:t>
            </w:r>
          </w:p>
        </w:tc>
        <w:tc>
          <w:tcPr>
            <w:tcW w:w="3216" w:type="dxa"/>
            <w:tcBorders>
              <w:top w:val="single" w:color="000000" w:sz="4" w:space="0"/>
              <w:left w:val="nil"/>
              <w:bottom w:val="nil"/>
              <w:right w:val="nil"/>
            </w:tcBorders>
            <w:shd w:val="clear" w:color="auto" w:fill="FFFFFF"/>
            <w:vAlign w:val="center"/>
          </w:tcPr>
          <w:p w14:paraId="54ACA0CF">
            <w:pPr>
              <w:rPr>
                <w:rFonts w:hint="default"/>
                <w:b w:val="0"/>
                <w:color w:val="000000"/>
                <w:lang w:val="en-US" w:eastAsia="zh-CN"/>
              </w:rPr>
            </w:pPr>
            <w:r>
              <w:rPr>
                <w:rFonts w:hint="default"/>
                <w:b w:val="0"/>
                <w:color w:val="000000"/>
                <w:lang w:val="en-US" w:eastAsia="zh-CN"/>
              </w:rPr>
              <w:t>早期表格检测、结构识别和端到端抽取基准，常来自扫描文档、PDF 或历史文档。</w:t>
            </w:r>
          </w:p>
        </w:tc>
        <w:tc>
          <w:tcPr>
            <w:tcW w:w="3292" w:type="dxa"/>
            <w:tcBorders>
              <w:top w:val="single" w:color="000000" w:sz="4" w:space="0"/>
              <w:left w:val="nil"/>
              <w:bottom w:val="nil"/>
              <w:right w:val="nil"/>
            </w:tcBorders>
            <w:shd w:val="clear" w:color="auto" w:fill="FFFFFF"/>
            <w:vAlign w:val="center"/>
          </w:tcPr>
          <w:p w14:paraId="1479F273">
            <w:pPr>
              <w:rPr>
                <w:rFonts w:hint="default"/>
                <w:b w:val="0"/>
                <w:color w:val="000000"/>
                <w:lang w:val="en-US" w:eastAsia="zh-CN"/>
              </w:rPr>
            </w:pPr>
            <w:r>
              <w:rPr>
                <w:rFonts w:hint="default"/>
                <w:b w:val="0"/>
                <w:color w:val="000000"/>
                <w:lang w:val="en-US" w:eastAsia="zh-CN"/>
              </w:rPr>
              <w:t xml:space="preserve">可作为 </w:t>
            </w:r>
            <w:r>
              <w:rPr>
                <w:rFonts w:hint="default"/>
                <w:b w:val="0"/>
                <w:color w:val="000000"/>
                <w:highlight w:val="yellow"/>
                <w:lang w:val="en-US" w:eastAsia="zh-CN"/>
              </w:rPr>
              <w:t>TSR 数据集</w:t>
            </w:r>
            <w:r>
              <w:rPr>
                <w:rFonts w:hint="default"/>
                <w:b w:val="0"/>
                <w:color w:val="000000"/>
                <w:lang w:val="en-US" w:eastAsia="zh-CN"/>
              </w:rPr>
              <w:t>发展脉络的</w:t>
            </w:r>
            <w:r>
              <w:rPr>
                <w:rFonts w:hint="default"/>
                <w:b w:val="0"/>
                <w:color w:val="000000"/>
                <w:highlight w:val="yellow"/>
                <w:lang w:val="en-US" w:eastAsia="zh-CN"/>
              </w:rPr>
              <w:t>起点</w:t>
            </w:r>
            <w:r>
              <w:rPr>
                <w:rFonts w:hint="default"/>
                <w:b w:val="0"/>
                <w:color w:val="000000"/>
                <w:lang w:val="en-US" w:eastAsia="zh-CN"/>
              </w:rPr>
              <w:t>，说明早期基准规模小、场景受限。</w:t>
            </w:r>
          </w:p>
        </w:tc>
      </w:tr>
      <w:tr w14:paraId="5C29E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58" w:type="dxa"/>
            <w:tcBorders>
              <w:top w:val="nil"/>
              <w:left w:val="nil"/>
              <w:bottom w:val="nil"/>
              <w:right w:val="nil"/>
            </w:tcBorders>
            <w:shd w:val="clear" w:color="auto" w:fill="FFFFFF"/>
            <w:vAlign w:val="center"/>
          </w:tcPr>
          <w:p w14:paraId="1C6D58FF">
            <w:pPr>
              <w:rPr>
                <w:rFonts w:hint="default"/>
                <w:b w:val="0"/>
                <w:color w:val="000000"/>
                <w:lang w:val="en-US" w:eastAsia="zh-CN"/>
              </w:rPr>
            </w:pPr>
            <w:r>
              <w:rPr>
                <w:rFonts w:hint="default"/>
                <w:b w:val="0"/>
                <w:color w:val="000000"/>
                <w:lang w:val="en-US" w:eastAsia="zh-CN"/>
              </w:rPr>
              <w:t>UNLV dataset</w:t>
            </w:r>
          </w:p>
        </w:tc>
        <w:tc>
          <w:tcPr>
            <w:tcW w:w="3216" w:type="dxa"/>
            <w:tcBorders>
              <w:top w:val="nil"/>
              <w:left w:val="nil"/>
              <w:bottom w:val="nil"/>
              <w:right w:val="nil"/>
            </w:tcBorders>
            <w:shd w:val="clear" w:color="auto" w:fill="FFFFFF"/>
            <w:vAlign w:val="center"/>
          </w:tcPr>
          <w:p w14:paraId="0A1088F1">
            <w:pPr>
              <w:rPr>
                <w:rFonts w:hint="default"/>
                <w:b w:val="0"/>
                <w:color w:val="000000"/>
                <w:lang w:val="en-US" w:eastAsia="zh-CN"/>
              </w:rPr>
            </w:pPr>
            <w:r>
              <w:rPr>
                <w:rFonts w:hint="default"/>
                <w:b w:val="0"/>
                <w:color w:val="000000"/>
                <w:lang w:val="en-US" w:eastAsia="zh-CN"/>
              </w:rPr>
              <w:t>文档图像分析</w:t>
            </w:r>
            <w:r>
              <w:rPr>
                <w:rFonts w:hint="default"/>
                <w:b w:val="0"/>
                <w:color w:val="000000"/>
                <w:highlight w:val="yellow"/>
                <w:lang w:val="en-US" w:eastAsia="zh-CN"/>
              </w:rPr>
              <w:t>经典数据集</w:t>
            </w:r>
            <w:r>
              <w:rPr>
                <w:rFonts w:hint="default"/>
                <w:b w:val="0"/>
                <w:color w:val="000000"/>
                <w:lang w:val="en-US" w:eastAsia="zh-CN"/>
              </w:rPr>
              <w:t>，包含表格页面。</w:t>
            </w:r>
          </w:p>
        </w:tc>
        <w:tc>
          <w:tcPr>
            <w:tcW w:w="3292" w:type="dxa"/>
            <w:tcBorders>
              <w:top w:val="nil"/>
              <w:left w:val="nil"/>
              <w:bottom w:val="nil"/>
              <w:right w:val="nil"/>
            </w:tcBorders>
            <w:shd w:val="clear" w:color="auto" w:fill="FFFFFF"/>
            <w:vAlign w:val="center"/>
          </w:tcPr>
          <w:p w14:paraId="1E80632E">
            <w:pPr>
              <w:rPr>
                <w:rFonts w:hint="default"/>
                <w:b w:val="0"/>
                <w:color w:val="000000"/>
                <w:lang w:val="en-US" w:eastAsia="zh-CN"/>
              </w:rPr>
            </w:pPr>
            <w:r>
              <w:rPr>
                <w:rFonts w:hint="default"/>
                <w:b w:val="0"/>
                <w:color w:val="000000"/>
                <w:lang w:val="en-US" w:eastAsia="zh-CN"/>
              </w:rPr>
              <w:t>TableNet 文中提到的经典数据集之一，适合用于说明传统数据集多样性不足。</w:t>
            </w:r>
          </w:p>
        </w:tc>
      </w:tr>
      <w:tr w14:paraId="756BB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58" w:type="dxa"/>
            <w:tcBorders>
              <w:top w:val="nil"/>
              <w:left w:val="nil"/>
              <w:bottom w:val="nil"/>
              <w:right w:val="nil"/>
            </w:tcBorders>
            <w:shd w:val="clear" w:color="auto" w:fill="FFFFFF"/>
            <w:vAlign w:val="center"/>
          </w:tcPr>
          <w:p w14:paraId="5D410BC2">
            <w:pPr>
              <w:rPr>
                <w:rFonts w:hint="default"/>
                <w:b w:val="0"/>
                <w:color w:val="000000"/>
                <w:lang w:val="en-US" w:eastAsia="zh-CN"/>
              </w:rPr>
            </w:pPr>
            <w:r>
              <w:rPr>
                <w:rFonts w:hint="default"/>
                <w:b w:val="0"/>
                <w:color w:val="000000"/>
                <w:lang w:val="en-US" w:eastAsia="zh-CN"/>
              </w:rPr>
              <w:t>Marmot dataset</w:t>
            </w:r>
          </w:p>
        </w:tc>
        <w:tc>
          <w:tcPr>
            <w:tcW w:w="3216" w:type="dxa"/>
            <w:tcBorders>
              <w:top w:val="nil"/>
              <w:left w:val="nil"/>
              <w:bottom w:val="nil"/>
              <w:right w:val="nil"/>
            </w:tcBorders>
            <w:shd w:val="clear" w:color="auto" w:fill="FFFFFF"/>
            <w:vAlign w:val="center"/>
          </w:tcPr>
          <w:p w14:paraId="1261B237">
            <w:pPr>
              <w:rPr>
                <w:rFonts w:hint="default"/>
                <w:b w:val="0"/>
                <w:color w:val="000000"/>
                <w:lang w:val="en-US" w:eastAsia="zh-CN"/>
              </w:rPr>
            </w:pPr>
            <w:r>
              <w:rPr>
                <w:rFonts w:hint="default"/>
                <w:b w:val="0"/>
                <w:color w:val="000000"/>
                <w:highlight w:val="yellow"/>
                <w:lang w:val="en-US" w:eastAsia="zh-CN"/>
              </w:rPr>
              <w:t>中文/英文</w:t>
            </w:r>
            <w:r>
              <w:rPr>
                <w:rFonts w:hint="default"/>
                <w:b w:val="0"/>
                <w:color w:val="000000"/>
                <w:lang w:val="en-US" w:eastAsia="zh-CN"/>
              </w:rPr>
              <w:t xml:space="preserve"> PDF 表格检测与分析数据集。</w:t>
            </w:r>
          </w:p>
        </w:tc>
        <w:tc>
          <w:tcPr>
            <w:tcW w:w="3292" w:type="dxa"/>
            <w:tcBorders>
              <w:top w:val="nil"/>
              <w:left w:val="nil"/>
              <w:bottom w:val="nil"/>
              <w:right w:val="nil"/>
            </w:tcBorders>
            <w:shd w:val="clear" w:color="auto" w:fill="FFFFFF"/>
            <w:vAlign w:val="center"/>
          </w:tcPr>
          <w:p w14:paraId="11D82C65">
            <w:pPr>
              <w:rPr>
                <w:rFonts w:hint="default"/>
                <w:b w:val="0"/>
                <w:color w:val="000000"/>
                <w:lang w:val="en-US" w:eastAsia="zh-CN"/>
              </w:rPr>
            </w:pPr>
            <w:r>
              <w:rPr>
                <w:rFonts w:hint="default"/>
                <w:b w:val="0"/>
                <w:color w:val="000000"/>
                <w:lang w:val="en-US" w:eastAsia="zh-CN"/>
              </w:rPr>
              <w:t>对中文表格和 PDF 场景有参考意义，但规模和标注粒度有限。</w:t>
            </w:r>
          </w:p>
        </w:tc>
      </w:tr>
      <w:tr w14:paraId="3C23A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58" w:type="dxa"/>
            <w:tcBorders>
              <w:top w:val="nil"/>
              <w:left w:val="nil"/>
              <w:bottom w:val="nil"/>
              <w:right w:val="nil"/>
            </w:tcBorders>
            <w:shd w:val="clear" w:color="auto" w:fill="FFFFFF"/>
            <w:vAlign w:val="center"/>
          </w:tcPr>
          <w:p w14:paraId="76408184">
            <w:pPr>
              <w:rPr>
                <w:rFonts w:hint="default"/>
                <w:b w:val="0"/>
                <w:color w:val="000000"/>
                <w:lang w:val="en-US" w:eastAsia="zh-CN"/>
              </w:rPr>
            </w:pPr>
            <w:r>
              <w:rPr>
                <w:rFonts w:hint="default"/>
                <w:b w:val="0"/>
                <w:color w:val="000000"/>
                <w:lang w:val="en-US" w:eastAsia="zh-CN"/>
              </w:rPr>
              <w:t>PubTabNet</w:t>
            </w:r>
          </w:p>
        </w:tc>
        <w:tc>
          <w:tcPr>
            <w:tcW w:w="3216" w:type="dxa"/>
            <w:tcBorders>
              <w:top w:val="nil"/>
              <w:left w:val="nil"/>
              <w:bottom w:val="nil"/>
              <w:right w:val="nil"/>
            </w:tcBorders>
            <w:shd w:val="clear" w:color="auto" w:fill="FFFFFF"/>
            <w:vAlign w:val="center"/>
          </w:tcPr>
          <w:p w14:paraId="4B1B216F">
            <w:pPr>
              <w:rPr>
                <w:rFonts w:hint="default"/>
                <w:b w:val="0"/>
                <w:color w:val="000000"/>
                <w:lang w:val="en-US" w:eastAsia="zh-CN"/>
              </w:rPr>
            </w:pPr>
            <w:r>
              <w:rPr>
                <w:rFonts w:hint="default"/>
                <w:b w:val="0"/>
                <w:color w:val="000000"/>
                <w:lang w:val="en-US" w:eastAsia="zh-CN"/>
              </w:rPr>
              <w:t xml:space="preserve">从 PubMed Central Open Access 论文 PDF 中抽取表格图像及 </w:t>
            </w:r>
            <w:r>
              <w:rPr>
                <w:rFonts w:hint="default"/>
                <w:b w:val="0"/>
                <w:color w:val="000000"/>
                <w:highlight w:val="yellow"/>
                <w:lang w:val="en-US" w:eastAsia="zh-CN"/>
              </w:rPr>
              <w:t>HTML 标注</w:t>
            </w:r>
            <w:r>
              <w:rPr>
                <w:rFonts w:hint="default"/>
                <w:b w:val="0"/>
                <w:color w:val="000000"/>
                <w:lang w:val="en-US" w:eastAsia="zh-CN"/>
              </w:rPr>
              <w:t>。</w:t>
            </w:r>
          </w:p>
        </w:tc>
        <w:tc>
          <w:tcPr>
            <w:tcW w:w="3292" w:type="dxa"/>
            <w:tcBorders>
              <w:top w:val="nil"/>
              <w:left w:val="nil"/>
              <w:bottom w:val="nil"/>
              <w:right w:val="nil"/>
            </w:tcBorders>
            <w:shd w:val="clear" w:color="auto" w:fill="FFFFFF"/>
            <w:vAlign w:val="center"/>
          </w:tcPr>
          <w:p w14:paraId="45232F6B">
            <w:pPr>
              <w:rPr>
                <w:rFonts w:hint="default"/>
                <w:b w:val="0"/>
                <w:color w:val="000000"/>
                <w:lang w:val="en-US" w:eastAsia="zh-CN"/>
              </w:rPr>
            </w:pPr>
            <w:r>
              <w:rPr>
                <w:rFonts w:hint="default"/>
                <w:b w:val="0"/>
                <w:color w:val="000000"/>
                <w:lang w:val="en-US" w:eastAsia="zh-CN"/>
              </w:rPr>
              <w:t>TableNet 对比实验中</w:t>
            </w:r>
            <w:r>
              <w:rPr>
                <w:rFonts w:hint="default"/>
                <w:b w:val="0"/>
                <w:color w:val="000000"/>
                <w:highlight w:val="yellow"/>
                <w:lang w:val="en-US" w:eastAsia="zh-CN"/>
              </w:rPr>
              <w:t>常见基线</w:t>
            </w:r>
            <w:r>
              <w:rPr>
                <w:rFonts w:hint="default"/>
                <w:b w:val="0"/>
                <w:color w:val="000000"/>
                <w:lang w:val="en-US" w:eastAsia="zh-CN"/>
              </w:rPr>
              <w:t>；它偏科学论文、黑白线框、垂直表头。</w:t>
            </w:r>
          </w:p>
        </w:tc>
      </w:tr>
      <w:tr w14:paraId="74E6A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58" w:type="dxa"/>
            <w:tcBorders>
              <w:top w:val="nil"/>
              <w:left w:val="nil"/>
              <w:bottom w:val="nil"/>
              <w:right w:val="nil"/>
            </w:tcBorders>
            <w:shd w:val="clear" w:color="auto" w:fill="FFFFFF"/>
            <w:vAlign w:val="center"/>
          </w:tcPr>
          <w:p w14:paraId="7DDA703D">
            <w:pPr>
              <w:rPr>
                <w:rFonts w:hint="default"/>
                <w:b w:val="0"/>
                <w:color w:val="000000"/>
                <w:lang w:val="en-US" w:eastAsia="zh-CN"/>
              </w:rPr>
            </w:pPr>
            <w:r>
              <w:rPr>
                <w:rFonts w:hint="default"/>
                <w:b w:val="0"/>
                <w:color w:val="000000"/>
                <w:lang w:val="en-US" w:eastAsia="zh-CN"/>
              </w:rPr>
              <w:t>FinTabNet</w:t>
            </w:r>
          </w:p>
        </w:tc>
        <w:tc>
          <w:tcPr>
            <w:tcW w:w="3216" w:type="dxa"/>
            <w:tcBorders>
              <w:top w:val="nil"/>
              <w:left w:val="nil"/>
              <w:bottom w:val="nil"/>
              <w:right w:val="nil"/>
            </w:tcBorders>
            <w:shd w:val="clear" w:color="auto" w:fill="FFFFFF"/>
            <w:vAlign w:val="center"/>
          </w:tcPr>
          <w:p w14:paraId="62AF8693">
            <w:pPr>
              <w:rPr>
                <w:rFonts w:hint="default"/>
                <w:b w:val="0"/>
                <w:color w:val="000000"/>
                <w:lang w:val="en-US" w:eastAsia="zh-CN"/>
              </w:rPr>
            </w:pPr>
            <w:r>
              <w:rPr>
                <w:rFonts w:hint="default"/>
                <w:b w:val="0"/>
                <w:color w:val="000000"/>
                <w:lang w:val="en-US" w:eastAsia="zh-CN"/>
              </w:rPr>
              <w:t>金融年报表格数据集，强调表格区域、结构和上下文。</w:t>
            </w:r>
          </w:p>
        </w:tc>
        <w:tc>
          <w:tcPr>
            <w:tcW w:w="3292" w:type="dxa"/>
            <w:tcBorders>
              <w:top w:val="nil"/>
              <w:left w:val="nil"/>
              <w:bottom w:val="nil"/>
              <w:right w:val="nil"/>
            </w:tcBorders>
            <w:shd w:val="clear" w:color="auto" w:fill="FFFFFF"/>
            <w:vAlign w:val="center"/>
          </w:tcPr>
          <w:p w14:paraId="1160B94A">
            <w:pPr>
              <w:rPr>
                <w:rFonts w:hint="default"/>
                <w:b w:val="0"/>
                <w:color w:val="000000"/>
                <w:lang w:val="en-US" w:eastAsia="zh-CN"/>
              </w:rPr>
            </w:pPr>
            <w:r>
              <w:rPr>
                <w:rFonts w:hint="default"/>
                <w:b w:val="0"/>
                <w:color w:val="000000"/>
                <w:lang w:val="en-US" w:eastAsia="zh-CN"/>
              </w:rPr>
              <w:t>提供</w:t>
            </w:r>
            <w:r>
              <w:rPr>
                <w:rFonts w:hint="default"/>
                <w:b w:val="0"/>
                <w:color w:val="000000"/>
                <w:highlight w:val="yellow"/>
                <w:lang w:val="en-US" w:eastAsia="zh-CN"/>
              </w:rPr>
              <w:t>金融领域</w:t>
            </w:r>
            <w:r>
              <w:rPr>
                <w:rFonts w:hint="default"/>
                <w:b w:val="0"/>
                <w:color w:val="000000"/>
                <w:lang w:val="en-US" w:eastAsia="zh-CN"/>
              </w:rPr>
              <w:t>表格，但领域集中、视觉风格有限。</w:t>
            </w:r>
          </w:p>
        </w:tc>
      </w:tr>
      <w:tr w14:paraId="6356B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58" w:type="dxa"/>
            <w:tcBorders>
              <w:top w:val="nil"/>
              <w:left w:val="nil"/>
              <w:bottom w:val="nil"/>
              <w:right w:val="nil"/>
            </w:tcBorders>
            <w:shd w:val="clear" w:color="auto" w:fill="FFFFFF"/>
            <w:vAlign w:val="center"/>
          </w:tcPr>
          <w:p w14:paraId="2F38CEC6">
            <w:pPr>
              <w:rPr>
                <w:rFonts w:hint="default"/>
                <w:b w:val="0"/>
                <w:color w:val="000000"/>
                <w:lang w:val="en-US" w:eastAsia="zh-CN"/>
              </w:rPr>
            </w:pPr>
            <w:r>
              <w:rPr>
                <w:rFonts w:hint="default"/>
                <w:b w:val="0"/>
                <w:color w:val="000000"/>
                <w:lang w:val="en-US" w:eastAsia="zh-CN"/>
              </w:rPr>
              <w:t>TableBank</w:t>
            </w:r>
          </w:p>
        </w:tc>
        <w:tc>
          <w:tcPr>
            <w:tcW w:w="3216" w:type="dxa"/>
            <w:tcBorders>
              <w:top w:val="nil"/>
              <w:left w:val="nil"/>
              <w:bottom w:val="nil"/>
              <w:right w:val="nil"/>
            </w:tcBorders>
            <w:shd w:val="clear" w:color="auto" w:fill="FFFFFF"/>
            <w:vAlign w:val="center"/>
          </w:tcPr>
          <w:p w14:paraId="223EE978">
            <w:pPr>
              <w:rPr>
                <w:rFonts w:hint="default"/>
                <w:b w:val="0"/>
                <w:color w:val="000000"/>
                <w:lang w:val="en-US" w:eastAsia="zh-CN"/>
              </w:rPr>
            </w:pPr>
            <w:r>
              <w:rPr>
                <w:rFonts w:hint="default"/>
                <w:b w:val="0"/>
                <w:color w:val="000000"/>
                <w:lang w:val="en-US" w:eastAsia="zh-CN"/>
              </w:rPr>
              <w:t>从 Word 和 LaTeX 文档中弱监督抽取表格，规模大。</w:t>
            </w:r>
          </w:p>
        </w:tc>
        <w:tc>
          <w:tcPr>
            <w:tcW w:w="3292" w:type="dxa"/>
            <w:tcBorders>
              <w:top w:val="nil"/>
              <w:left w:val="nil"/>
              <w:bottom w:val="nil"/>
              <w:right w:val="nil"/>
            </w:tcBorders>
            <w:shd w:val="clear" w:color="auto" w:fill="FFFFFF"/>
            <w:vAlign w:val="center"/>
          </w:tcPr>
          <w:p w14:paraId="3AF11411">
            <w:pPr>
              <w:rPr>
                <w:rFonts w:hint="default"/>
                <w:b w:val="0"/>
                <w:color w:val="000000"/>
                <w:lang w:val="en-US" w:eastAsia="zh-CN"/>
              </w:rPr>
            </w:pPr>
            <w:r>
              <w:rPr>
                <w:rFonts w:hint="default"/>
                <w:b w:val="0"/>
                <w:color w:val="000000"/>
                <w:lang w:val="en-US" w:eastAsia="zh-CN"/>
              </w:rPr>
              <w:t>和 TableNet 一样强调低成本构建，但 TableNet 更强调 LLM 可控生成和视觉/结构多样性。</w:t>
            </w:r>
          </w:p>
        </w:tc>
      </w:tr>
      <w:tr w14:paraId="3FD64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58" w:type="dxa"/>
            <w:tcBorders>
              <w:top w:val="nil"/>
              <w:left w:val="nil"/>
              <w:bottom w:val="nil"/>
              <w:right w:val="nil"/>
            </w:tcBorders>
            <w:shd w:val="clear" w:color="auto" w:fill="FFFFFF"/>
            <w:vAlign w:val="center"/>
          </w:tcPr>
          <w:p w14:paraId="771402DE">
            <w:pPr>
              <w:rPr>
                <w:rFonts w:hint="default"/>
                <w:b w:val="0"/>
                <w:color w:val="000000"/>
                <w:lang w:val="en-US" w:eastAsia="zh-CN"/>
              </w:rPr>
            </w:pPr>
            <w:r>
              <w:rPr>
                <w:rFonts w:hint="default"/>
                <w:b w:val="0"/>
                <w:color w:val="000000"/>
                <w:lang w:val="en-US" w:eastAsia="zh-CN"/>
              </w:rPr>
              <w:t>PubTables-1M</w:t>
            </w:r>
          </w:p>
        </w:tc>
        <w:tc>
          <w:tcPr>
            <w:tcW w:w="3216" w:type="dxa"/>
            <w:tcBorders>
              <w:top w:val="nil"/>
              <w:left w:val="nil"/>
              <w:bottom w:val="nil"/>
              <w:right w:val="nil"/>
            </w:tcBorders>
            <w:shd w:val="clear" w:color="auto" w:fill="FFFFFF"/>
            <w:vAlign w:val="center"/>
          </w:tcPr>
          <w:p w14:paraId="309DF9BA">
            <w:pPr>
              <w:rPr>
                <w:rFonts w:hint="default"/>
                <w:b w:val="0"/>
                <w:color w:val="000000"/>
                <w:lang w:val="en-US" w:eastAsia="zh-CN"/>
              </w:rPr>
            </w:pPr>
            <w:r>
              <w:rPr>
                <w:rFonts w:hint="default"/>
                <w:b w:val="0"/>
                <w:color w:val="000000"/>
                <w:lang w:val="en-US" w:eastAsia="zh-CN"/>
              </w:rPr>
              <w:t>面向完整表格抽取的</w:t>
            </w:r>
            <w:r>
              <w:rPr>
                <w:rFonts w:hint="default"/>
                <w:b w:val="0"/>
                <w:color w:val="000000"/>
                <w:highlight w:val="yellow"/>
                <w:lang w:val="en-US" w:eastAsia="zh-CN"/>
              </w:rPr>
              <w:t>大规模</w:t>
            </w:r>
            <w:r>
              <w:rPr>
                <w:rFonts w:hint="default"/>
                <w:b w:val="0"/>
                <w:color w:val="000000"/>
                <w:lang w:val="en-US" w:eastAsia="zh-CN"/>
              </w:rPr>
              <w:t>数据集，提供</w:t>
            </w:r>
            <w:r>
              <w:rPr>
                <w:rFonts w:hint="default"/>
                <w:b w:val="0"/>
                <w:color w:val="000000"/>
                <w:highlight w:val="yellow"/>
                <w:lang w:val="en-US" w:eastAsia="zh-CN"/>
              </w:rPr>
              <w:t>规范化表格结构标注</w:t>
            </w:r>
            <w:r>
              <w:rPr>
                <w:rFonts w:hint="default"/>
                <w:b w:val="0"/>
                <w:color w:val="000000"/>
                <w:lang w:val="en-US" w:eastAsia="zh-CN"/>
              </w:rPr>
              <w:t>。</w:t>
            </w:r>
          </w:p>
        </w:tc>
        <w:tc>
          <w:tcPr>
            <w:tcW w:w="3292" w:type="dxa"/>
            <w:tcBorders>
              <w:top w:val="nil"/>
              <w:left w:val="nil"/>
              <w:bottom w:val="nil"/>
              <w:right w:val="nil"/>
            </w:tcBorders>
            <w:shd w:val="clear" w:color="auto" w:fill="FFFFFF"/>
            <w:vAlign w:val="center"/>
          </w:tcPr>
          <w:p w14:paraId="0662FF95">
            <w:pPr>
              <w:rPr>
                <w:rFonts w:hint="default"/>
                <w:b w:val="0"/>
                <w:color w:val="000000"/>
                <w:lang w:val="en-US" w:eastAsia="zh-CN"/>
              </w:rPr>
            </w:pPr>
            <w:r>
              <w:rPr>
                <w:rFonts w:hint="default"/>
                <w:b w:val="0"/>
                <w:color w:val="000000"/>
                <w:lang w:val="en-US" w:eastAsia="zh-CN"/>
              </w:rPr>
              <w:t>可作为“真实文档大规模基准”的代表，与 TableNet 的“可控生成大规模基准”形成对照。</w:t>
            </w:r>
          </w:p>
        </w:tc>
      </w:tr>
      <w:tr w14:paraId="38583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58" w:type="dxa"/>
            <w:tcBorders>
              <w:top w:val="nil"/>
              <w:left w:val="nil"/>
              <w:bottom w:val="nil"/>
              <w:right w:val="nil"/>
            </w:tcBorders>
            <w:shd w:val="clear" w:color="auto" w:fill="FFFFFF"/>
            <w:vAlign w:val="center"/>
          </w:tcPr>
          <w:p w14:paraId="61A12A59">
            <w:pPr>
              <w:rPr>
                <w:rFonts w:hint="default"/>
                <w:b w:val="0"/>
                <w:color w:val="000000"/>
                <w:lang w:val="en-US" w:eastAsia="zh-CN"/>
              </w:rPr>
            </w:pPr>
            <w:r>
              <w:rPr>
                <w:rFonts w:hint="default"/>
                <w:b w:val="0"/>
                <w:color w:val="000000"/>
                <w:lang w:val="en-US" w:eastAsia="zh-CN"/>
              </w:rPr>
              <w:t>SynthTabNet</w:t>
            </w:r>
          </w:p>
        </w:tc>
        <w:tc>
          <w:tcPr>
            <w:tcW w:w="3216" w:type="dxa"/>
            <w:tcBorders>
              <w:top w:val="nil"/>
              <w:left w:val="nil"/>
              <w:bottom w:val="nil"/>
              <w:right w:val="nil"/>
            </w:tcBorders>
            <w:shd w:val="clear" w:color="auto" w:fill="FFFFFF"/>
            <w:vAlign w:val="center"/>
          </w:tcPr>
          <w:p w14:paraId="53036746">
            <w:pPr>
              <w:rPr>
                <w:rFonts w:hint="default"/>
                <w:b w:val="0"/>
                <w:color w:val="000000"/>
                <w:lang w:val="en-US" w:eastAsia="zh-CN"/>
              </w:rPr>
            </w:pPr>
            <w:r>
              <w:rPr>
                <w:rFonts w:hint="default"/>
                <w:b w:val="0"/>
                <w:color w:val="000000"/>
                <w:highlight w:val="yellow"/>
                <w:lang w:val="en-US" w:eastAsia="zh-CN"/>
              </w:rPr>
              <w:t>合成表格</w:t>
            </w:r>
            <w:r>
              <w:rPr>
                <w:rFonts w:hint="default"/>
                <w:b w:val="0"/>
                <w:color w:val="000000"/>
                <w:lang w:val="en-US" w:eastAsia="zh-CN"/>
              </w:rPr>
              <w:t>数据集，常与 TableFormer 一起出现。</w:t>
            </w:r>
          </w:p>
        </w:tc>
        <w:tc>
          <w:tcPr>
            <w:tcW w:w="3292" w:type="dxa"/>
            <w:tcBorders>
              <w:top w:val="nil"/>
              <w:left w:val="nil"/>
              <w:bottom w:val="nil"/>
              <w:right w:val="nil"/>
            </w:tcBorders>
            <w:shd w:val="clear" w:color="auto" w:fill="FFFFFF"/>
            <w:vAlign w:val="center"/>
          </w:tcPr>
          <w:p w14:paraId="420A681E">
            <w:pPr>
              <w:rPr>
                <w:rFonts w:hint="default"/>
                <w:b w:val="0"/>
                <w:color w:val="000000"/>
                <w:lang w:val="en-US" w:eastAsia="zh-CN"/>
              </w:rPr>
            </w:pPr>
            <w:r>
              <w:rPr>
                <w:rFonts w:hint="default"/>
                <w:b w:val="0"/>
                <w:color w:val="000000"/>
                <w:lang w:val="en-US" w:eastAsia="zh-CN"/>
              </w:rPr>
              <w:t>TableNet 应重点对比其</w:t>
            </w:r>
            <w:r>
              <w:rPr>
                <w:rFonts w:hint="default"/>
                <w:b w:val="0"/>
                <w:color w:val="000000"/>
                <w:highlight w:val="yellow"/>
                <w:lang w:val="en-US" w:eastAsia="zh-CN"/>
              </w:rPr>
              <w:t>合成策略</w:t>
            </w:r>
            <w:r>
              <w:rPr>
                <w:rFonts w:hint="default"/>
                <w:b w:val="0"/>
                <w:color w:val="000000"/>
                <w:lang w:val="en-US" w:eastAsia="zh-CN"/>
              </w:rPr>
              <w:t>、样式多样性和结构复杂性。</w:t>
            </w:r>
          </w:p>
        </w:tc>
      </w:tr>
      <w:tr w14:paraId="0102E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58" w:type="dxa"/>
            <w:tcBorders>
              <w:top w:val="nil"/>
              <w:left w:val="nil"/>
              <w:bottom w:val="nil"/>
              <w:right w:val="nil"/>
            </w:tcBorders>
            <w:shd w:val="clear" w:color="auto" w:fill="FFFFFF"/>
            <w:vAlign w:val="center"/>
          </w:tcPr>
          <w:p w14:paraId="65564E2D">
            <w:pPr>
              <w:rPr>
                <w:rFonts w:hint="default"/>
                <w:b w:val="0"/>
                <w:color w:val="000000"/>
                <w:lang w:val="en-US" w:eastAsia="zh-CN"/>
              </w:rPr>
            </w:pPr>
            <w:r>
              <w:rPr>
                <w:rFonts w:hint="default"/>
                <w:b w:val="0"/>
                <w:color w:val="000000"/>
                <w:lang w:val="en-US" w:eastAsia="zh-CN"/>
              </w:rPr>
              <w:t>SciTSR</w:t>
            </w:r>
          </w:p>
        </w:tc>
        <w:tc>
          <w:tcPr>
            <w:tcW w:w="3216" w:type="dxa"/>
            <w:tcBorders>
              <w:top w:val="nil"/>
              <w:left w:val="nil"/>
              <w:bottom w:val="nil"/>
              <w:right w:val="nil"/>
            </w:tcBorders>
            <w:shd w:val="clear" w:color="auto" w:fill="FFFFFF"/>
            <w:vAlign w:val="center"/>
          </w:tcPr>
          <w:p w14:paraId="594CBA06">
            <w:pPr>
              <w:rPr>
                <w:rFonts w:hint="default"/>
                <w:b w:val="0"/>
                <w:color w:val="000000"/>
                <w:lang w:val="en-US" w:eastAsia="zh-CN"/>
              </w:rPr>
            </w:pPr>
            <w:r>
              <w:rPr>
                <w:rFonts w:hint="default"/>
                <w:b w:val="0"/>
                <w:color w:val="000000"/>
                <w:highlight w:val="yellow"/>
                <w:lang w:val="en-US" w:eastAsia="zh-CN"/>
              </w:rPr>
              <w:t>科学论文</w:t>
            </w:r>
            <w:r>
              <w:rPr>
                <w:rFonts w:hint="default"/>
                <w:b w:val="0"/>
                <w:color w:val="000000"/>
                <w:lang w:val="en-US" w:eastAsia="zh-CN"/>
              </w:rPr>
              <w:t>表格结构识别数据集，常用于图结构方法。</w:t>
            </w:r>
          </w:p>
        </w:tc>
        <w:tc>
          <w:tcPr>
            <w:tcW w:w="3292" w:type="dxa"/>
            <w:tcBorders>
              <w:top w:val="nil"/>
              <w:left w:val="nil"/>
              <w:bottom w:val="nil"/>
              <w:right w:val="nil"/>
            </w:tcBorders>
            <w:shd w:val="clear" w:color="auto" w:fill="FFFFFF"/>
            <w:vAlign w:val="center"/>
          </w:tcPr>
          <w:p w14:paraId="32812267">
            <w:pPr>
              <w:rPr>
                <w:rFonts w:hint="default"/>
                <w:b w:val="0"/>
                <w:color w:val="000000"/>
                <w:lang w:val="en-US" w:eastAsia="zh-CN"/>
              </w:rPr>
            </w:pPr>
            <w:r>
              <w:rPr>
                <w:rFonts w:hint="default"/>
                <w:b w:val="0"/>
                <w:color w:val="000000"/>
                <w:lang w:val="en-US" w:eastAsia="zh-CN"/>
              </w:rPr>
              <w:t>适合引出复杂表格结构和 cell-level 关系建模。</w:t>
            </w:r>
          </w:p>
        </w:tc>
      </w:tr>
      <w:tr w14:paraId="0DBF9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58" w:type="dxa"/>
            <w:tcBorders>
              <w:top w:val="nil"/>
              <w:left w:val="nil"/>
              <w:bottom w:val="single" w:color="000000" w:sz="12" w:space="0"/>
              <w:right w:val="nil"/>
            </w:tcBorders>
            <w:shd w:val="clear" w:color="auto" w:fill="FFFFFF"/>
            <w:vAlign w:val="center"/>
          </w:tcPr>
          <w:p w14:paraId="229BB2A4">
            <w:pPr>
              <w:rPr>
                <w:rFonts w:hint="default"/>
                <w:b w:val="0"/>
                <w:color w:val="000000"/>
                <w:lang w:val="en-US" w:eastAsia="zh-CN"/>
              </w:rPr>
            </w:pPr>
            <w:r>
              <w:rPr>
                <w:rFonts w:hint="default"/>
                <w:b w:val="0"/>
                <w:color w:val="000000"/>
                <w:lang w:val="en-US" w:eastAsia="zh-CN"/>
              </w:rPr>
              <w:t>TabRecSet</w:t>
            </w:r>
          </w:p>
        </w:tc>
        <w:tc>
          <w:tcPr>
            <w:tcW w:w="3216" w:type="dxa"/>
            <w:tcBorders>
              <w:top w:val="nil"/>
              <w:left w:val="nil"/>
              <w:bottom w:val="single" w:color="000000" w:sz="12" w:space="0"/>
              <w:right w:val="nil"/>
            </w:tcBorders>
            <w:shd w:val="clear" w:color="auto" w:fill="FFFFFF"/>
            <w:vAlign w:val="center"/>
          </w:tcPr>
          <w:p w14:paraId="32C734A5">
            <w:pPr>
              <w:rPr>
                <w:rFonts w:hint="default"/>
                <w:b w:val="0"/>
                <w:color w:val="000000"/>
                <w:lang w:val="en-US" w:eastAsia="zh-CN"/>
              </w:rPr>
            </w:pPr>
            <w:r>
              <w:rPr>
                <w:rFonts w:hint="default"/>
                <w:b w:val="0"/>
                <w:color w:val="000000"/>
                <w:lang w:val="en-US" w:eastAsia="zh-CN"/>
              </w:rPr>
              <w:t>表格识别相关数据集，TableNet 文中提到。</w:t>
            </w:r>
          </w:p>
        </w:tc>
        <w:tc>
          <w:tcPr>
            <w:tcW w:w="3292" w:type="dxa"/>
            <w:tcBorders>
              <w:top w:val="nil"/>
              <w:left w:val="nil"/>
              <w:bottom w:val="single" w:color="000000" w:sz="12" w:space="0"/>
              <w:right w:val="nil"/>
            </w:tcBorders>
            <w:shd w:val="clear" w:color="auto" w:fill="FFFFFF"/>
            <w:vAlign w:val="center"/>
          </w:tcPr>
          <w:p w14:paraId="4ED32696">
            <w:pPr>
              <w:rPr>
                <w:rFonts w:hint="default"/>
                <w:b w:val="0"/>
                <w:color w:val="000000"/>
                <w:lang w:val="en-US" w:eastAsia="zh-CN"/>
              </w:rPr>
            </w:pPr>
            <w:r>
              <w:rPr>
                <w:rFonts w:hint="default"/>
                <w:b w:val="0"/>
                <w:color w:val="000000"/>
                <w:lang w:val="en-US" w:eastAsia="zh-CN"/>
              </w:rPr>
              <w:t>需要进一步核对论文来源和具体标注形式。</w:t>
            </w:r>
          </w:p>
        </w:tc>
      </w:tr>
    </w:tbl>
    <w:p w14:paraId="7B0AAD46">
      <w:pPr>
        <w:rPr>
          <w:rFonts w:hint="default"/>
          <w:lang w:val="en-US" w:eastAsia="zh-CN"/>
        </w:rPr>
      </w:pPr>
    </w:p>
    <w:p w14:paraId="4FE0FC12">
      <w:pPr>
        <w:rPr>
          <w:rFonts w:hint="eastAsia"/>
          <w:lang w:val="en-US" w:eastAsia="zh-CN"/>
        </w:rPr>
      </w:pPr>
      <w:r>
        <w:rPr>
          <w:rFonts w:hint="eastAsia"/>
          <w:lang w:val="en-US" w:eastAsia="zh-CN"/>
        </w:rPr>
        <w:t>TableBank实现低成本、弱监督表格数据集创建：</w:t>
      </w:r>
    </w:p>
    <w:p w14:paraId="77864DB9">
      <w:pPr>
        <w:rPr>
          <w:rFonts w:hint="eastAsia"/>
          <w:lang w:val="en-US" w:eastAsia="zh-CN"/>
        </w:rPr>
      </w:pPr>
      <w:r>
        <w:rPr>
          <w:rFonts w:hint="eastAsia"/>
          <w:lang w:val="en-US" w:eastAsia="zh-CN"/>
        </w:rPr>
        <w:t>利用电子文档底层自带的标记语言，通过自动化修改源代码为表格生成标注，避免昂贵的人工标注成本</w:t>
      </w:r>
    </w:p>
    <w:p w14:paraId="450529A5">
      <w:pPr>
        <w:rPr>
          <w:rFonts w:hint="eastAsia"/>
          <w:lang w:val="en-US" w:eastAsia="zh-CN"/>
        </w:rPr>
      </w:pPr>
    </w:p>
    <w:p w14:paraId="59D0DECF">
      <w:pPr>
        <w:rPr>
          <w:rFonts w:hint="eastAsia"/>
          <w:lang w:val="en-US" w:eastAsia="zh-CN"/>
        </w:rPr>
      </w:pPr>
      <w:r>
        <w:rPr>
          <w:rFonts w:hint="eastAsia"/>
          <w:lang w:val="en-US" w:eastAsia="zh-CN"/>
        </w:rPr>
        <w:t>Word：XML文件，表格由&lt;w:tbl&gt;之间的代码片段表示，tableBank自动修改这些代码片段，将表格边框修改为与文档其他部分形成鲜明对比的特殊颜色。</w:t>
      </w:r>
    </w:p>
    <w:p w14:paraId="06BC67ED">
      <w:pPr>
        <w:rPr>
          <w:rFonts w:hint="eastAsia"/>
          <w:lang w:val="en-US" w:eastAsia="zh-CN"/>
        </w:rPr>
      </w:pPr>
      <w:r>
        <w:rPr>
          <w:rFonts w:hint="eastAsia"/>
          <w:lang w:val="en-US" w:eastAsia="zh-CN"/>
        </w:rPr>
        <w:t>Latex：tex文件，利用Tex 语法中的 \fcolorbox 命令来为表格添加边界框。定义一种特殊的颜色用于区分边界框</w:t>
      </w:r>
    </w:p>
    <w:p w14:paraId="4261EA2F">
      <w:pPr>
        <w:rPr>
          <w:rFonts w:hint="eastAsia"/>
          <w:lang w:val="en-US" w:eastAsia="zh-CN"/>
        </w:rPr>
      </w:pPr>
    </w:p>
    <w:p w14:paraId="707E6426">
      <w:pPr>
        <w:rPr>
          <w:rFonts w:hint="default"/>
          <w:lang w:val="en-US" w:eastAsia="zh-CN"/>
        </w:rPr>
      </w:pPr>
      <w:r>
        <w:rPr>
          <w:rFonts w:hint="eastAsia"/>
          <w:lang w:val="en-US" w:eastAsia="zh-CN"/>
        </w:rPr>
        <w:t>如何获取目标检测的边界框标签？&lt;提取供深度学习模型训练的坐标数据&gt;</w:t>
      </w:r>
    </w:p>
    <w:p w14:paraId="11D64A4C">
      <w:pPr>
        <w:rPr>
          <w:rFonts w:hint="eastAsia"/>
          <w:lang w:val="en-US" w:eastAsia="zh-CN"/>
        </w:rPr>
      </w:pPr>
      <w:r>
        <w:rPr>
          <w:rFonts w:hint="eastAsia"/>
          <w:lang w:val="en-US" w:eastAsia="zh-CN"/>
        </w:rPr>
        <w:t>像素对比法：首先获取带特殊颜色边框的PDF，接着系统在同一页面的原始位置生成一个带有“白色”边框的对应页面，确保两页完全相同，最后，系统在像素级别对这两个页面进行对比，寻找差异像素点，精准提取出表格的左上角坐标以及高、宽参数</w:t>
      </w:r>
    </w:p>
    <w:p w14:paraId="723D781E">
      <w:pPr>
        <w:rPr>
          <w:rFonts w:hint="eastAsia"/>
          <w:lang w:val="en-US" w:eastAsia="zh-CN"/>
        </w:rPr>
      </w:pPr>
    </w:p>
    <w:p w14:paraId="3CC5A219">
      <w:pPr>
        <w:rPr>
          <w:rFonts w:hint="eastAsia"/>
          <w:lang w:val="en-US" w:eastAsia="zh-CN"/>
        </w:rPr>
      </w:pPr>
      <w:r>
        <w:rPr>
          <w:rFonts w:hint="eastAsia"/>
          <w:lang w:val="en-US" w:eastAsia="zh-CN"/>
        </w:rPr>
        <w:t>获取结构识别的HTML序列标签（通过解析源码自动生成用于表格结构识别的标签）：</w:t>
      </w:r>
    </w:p>
    <w:p w14:paraId="7A16B271">
      <w:pPr>
        <w:rPr>
          <w:rFonts w:hint="eastAsia"/>
          <w:lang w:val="en-US" w:eastAsia="zh-CN"/>
        </w:rPr>
      </w:pPr>
      <w:r>
        <w:rPr>
          <w:rFonts w:hint="eastAsia"/>
          <w:lang w:val="en-US" w:eastAsia="zh-CN"/>
        </w:rPr>
        <w:t xml:space="preserve">XML-&gt;HTML </w:t>
      </w:r>
    </w:p>
    <w:p w14:paraId="50BDD52A">
      <w:pPr>
        <w:rPr>
          <w:rFonts w:hint="eastAsia"/>
          <w:lang w:val="en-US" w:eastAsia="zh-CN"/>
        </w:rPr>
      </w:pPr>
      <w:r>
        <w:rPr>
          <w:rFonts w:hint="eastAsia"/>
          <w:lang w:val="en-US" w:eastAsia="zh-CN"/>
        </w:rPr>
        <w:t>Tex-&gt;XML-&gt;HTML</w:t>
      </w:r>
    </w:p>
    <w:p w14:paraId="53AEE2EB">
      <w:pPr>
        <w:rPr>
          <w:rFonts w:hint="eastAsia"/>
          <w:lang w:val="en-US" w:eastAsia="zh-CN"/>
        </w:rPr>
      </w:pPr>
    </w:p>
    <w:p w14:paraId="4ED35A20">
      <w:pPr>
        <w:rPr>
          <w:rFonts w:hint="eastAsia"/>
          <w:lang w:val="en-US" w:eastAsia="zh-CN"/>
        </w:rPr>
      </w:pPr>
    </w:p>
    <w:p w14:paraId="2DEF1C2C">
      <w:pPr>
        <w:rPr>
          <w:rFonts w:hint="eastAsia"/>
          <w:highlight w:val="yellow"/>
          <w:lang w:val="en-US" w:eastAsia="zh-CN"/>
        </w:rPr>
      </w:pPr>
      <w:r>
        <w:rPr>
          <w:rFonts w:hint="eastAsia"/>
          <w:highlight w:val="yellow"/>
          <w:lang w:val="en-US" w:eastAsia="zh-CN"/>
        </w:rPr>
        <w:t>LLM与多智能体生成机</w:t>
      </w:r>
      <w:bookmarkStart w:id="0" w:name="_GoBack"/>
      <w:bookmarkEnd w:id="0"/>
      <w:r>
        <w:rPr>
          <w:rFonts w:hint="eastAsia"/>
          <w:highlight w:val="yellow"/>
          <w:lang w:val="en-US" w:eastAsia="zh-CN"/>
        </w:rPr>
        <w:t>制：</w:t>
      </w:r>
    </w:p>
    <w:p w14:paraId="471DE219">
      <w:pPr>
        <w:rPr>
          <w:rFonts w:hint="eastAsia"/>
          <w:lang w:val="en-US" w:eastAsia="zh-CN"/>
        </w:rPr>
      </w:pPr>
      <w:r>
        <w:rPr>
          <w:rFonts w:hint="eastAsia"/>
          <w:lang w:val="en-US" w:eastAsia="zh-CN"/>
        </w:rPr>
        <w:t>传统合成数据集主要依赖固定模版与程序化脚本规则，而TableNet的创新之一在与引用了LLM与多智能体驱动的自主表格生成系统</w:t>
      </w:r>
    </w:p>
    <w:p w14:paraId="5DA8D2C9">
      <w:pPr>
        <w:rPr>
          <w:rFonts w:hint="eastAsia"/>
          <w:lang w:val="en-US" w:eastAsia="zh-CN"/>
        </w:rPr>
      </w:pPr>
    </w:p>
    <w:p w14:paraId="040DD180">
      <w:pPr>
        <w:rPr>
          <w:rFonts w:hint="eastAsia"/>
          <w:lang w:val="en-US" w:eastAsia="zh-CN"/>
        </w:rPr>
      </w:pPr>
      <w:r>
        <w:rPr>
          <w:rFonts w:hint="eastAsia"/>
          <w:lang w:val="en-US" w:eastAsia="zh-CN"/>
        </w:rPr>
        <w:t>底层架构：（概率硬编码- &gt;认知流调度）</w:t>
      </w:r>
    </w:p>
    <w:p w14:paraId="1F62C96D">
      <w:pPr>
        <w:rPr>
          <w:rFonts w:hint="default"/>
          <w:lang w:val="en-US" w:eastAsia="zh-CN"/>
        </w:rPr>
      </w:pPr>
      <w:r>
        <w:rPr>
          <w:rFonts w:hint="eastAsia"/>
          <w:lang w:val="en-US" w:eastAsia="zh-CN"/>
        </w:rPr>
        <w:t>传统程序化生成：单向僵硬，在代码中硬编码规则（20%跨行，10%填充彩色），内容则是从随机文本库或语料库中随机抽取字符填充</w:t>
      </w:r>
    </w:p>
    <w:p w14:paraId="5015E144">
      <w:pPr>
        <w:rPr>
          <w:rFonts w:hint="default"/>
          <w:lang w:val="en-US" w:eastAsia="zh-CN"/>
        </w:rPr>
      </w:pPr>
    </w:p>
    <w:p w14:paraId="5852E4F8">
      <w:pPr>
        <w:rPr>
          <w:rFonts w:hint="default"/>
          <w:lang w:val="en-US" w:eastAsia="zh-CN"/>
        </w:rPr>
      </w:pPr>
      <w:r>
        <w:rPr>
          <w:rFonts w:hint="eastAsia"/>
          <w:lang w:val="en-US" w:eastAsia="zh-CN"/>
        </w:rPr>
        <w:t>LLM多智能体生成机制：基于角色分工与反思闭环的认知网络，不是端到端让LLM直接生成庞大的HTML字符串（易出现标签不闭合，幻觉，逻辑错乱），而是将复杂的表格创建任务拆解为多智能体流水线</w:t>
      </w:r>
    </w:p>
    <w:p w14:paraId="6550AB79">
      <w:pPr>
        <w:rPr>
          <w:rFonts w:hint="default"/>
          <w:lang w:val="en-US" w:eastAsia="zh-CN"/>
        </w:rPr>
      </w:pPr>
      <w:r>
        <w:rPr>
          <w:rFonts w:hint="default"/>
          <w:lang w:val="en-US" w:eastAsia="zh-CN"/>
        </w:rPr>
        <w:t>那你现在要来帮我做了是吧，来精读一下这篇文章吧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AC5E07"/>
    <w:multiLevelType w:val="singleLevel"/>
    <w:tmpl w:val="E2AC5E07"/>
    <w:lvl w:ilvl="0" w:tentative="0">
      <w:start w:val="2"/>
      <w:numFmt w:val="decimal"/>
      <w:suff w:val="nothing"/>
      <w:lvlText w:val="%1、"/>
      <w:lvlJc w:val="left"/>
    </w:lvl>
  </w:abstractNum>
  <w:abstractNum w:abstractNumId="1">
    <w:nsid w:val="39D15062"/>
    <w:multiLevelType w:val="singleLevel"/>
    <w:tmpl w:val="39D15062"/>
    <w:lvl w:ilvl="0" w:tentative="0">
      <w:start w:val="1"/>
      <w:numFmt w:val="decimal"/>
      <w:suff w:val="nothing"/>
      <w:lvlText w:val="%1、"/>
      <w:lvlJc w:val="left"/>
    </w:lvl>
  </w:abstractNum>
  <w:abstractNum w:abstractNumId="2">
    <w:nsid w:val="43566A5D"/>
    <w:multiLevelType w:val="singleLevel"/>
    <w:tmpl w:val="43566A5D"/>
    <w:lvl w:ilvl="0" w:tentative="0">
      <w:start w:val="1"/>
      <w:numFmt w:val="bullet"/>
      <w:lvlText w:val=""/>
      <w:lvlJc w:val="left"/>
      <w:pPr>
        <w:ind w:left="420" w:hanging="420"/>
      </w:pPr>
      <w:rPr>
        <w:rFonts w:hint="default" w:ascii="Wingdings" w:hAnsi="Wingdings"/>
        <w:sz w:val="16"/>
        <w:szCs w:val="16"/>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8D27D8"/>
    <w:rsid w:val="0CB27AE1"/>
    <w:rsid w:val="1A1C5A6E"/>
    <w:rsid w:val="28996270"/>
    <w:rsid w:val="7A8D2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3397</Words>
  <Characters>4151</Characters>
  <Lines>0</Lines>
  <Paragraphs>0</Paragraphs>
  <TotalTime>127</TotalTime>
  <ScaleCrop>false</ScaleCrop>
  <LinksUpToDate>false</LinksUpToDate>
  <CharactersWithSpaces>4278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2026-07-07T02:45:00Z</dcterms:created>
  <dc:creator>朱慧敏</dc:creator>
  <cp:lastModifiedBy>朱慧敏</cp:lastModifiedBy>
  <dcterms:modified xsi:type="dcterms:W3CDTF">2026-07-07T10:00:08Z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8A7F2D26B4AF434893D279D429EA8920_11</vt:lpwstr>
  </property>
  <property fmtid="{D5CDD505-2E9C-101B-9397-08002B2CF9AE}" pid="4" name="KSOTemplateDocerSaveRecord">
    <vt:lpwstr>eyJoZGlkIjoiMzRiNjBiNWIzYWE5Y2JhMDJkM2VjODgwYzczOWNiOTgiLCJ1c2VySWQiOiIxNzAwMTUzOTAzIn0=</vt:lpwstr>
  </property>
</Properties>
</file>