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arget="word/document.xml" Type="http://schemas.openxmlformats.org/officeDocument/2006/relationships/officeDocument" />
    <Relationship Id="rId2" Target="docProps/app.xml" Type="http://schemas.openxmlformats.org/officeDocument/2006/relationships/extended-properties" />
    <Relationship Id="rId3" Target="docProps/core.xml" Type="http://schemas.openxmlformats.org/package/2006/relationships/metadata/core-properties" />
    <Relationship Id="rId4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2026校招-教育群AI提效-代码评审工具研发小作业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任务名称：面向特定场景的代码评审工具研发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一、作业背景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研究、研发、测试等同事一般在研发过程中都会编写代码实现数据清洗、训练迭代、引擎/平台研发、测试工具研发等任务。虽然AI 工具提高代码生产效率，但考虑AI 工具研发过程中会遗漏一些要求，代码质量不一定有保证。故需要场景适配的代码评审工具来保障研发质量。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实际研发过程中有很多特定场景的要求，高度依赖个人经验，存在效率低、覆盖不全、标准不统一等问题：常见大模型参数配置不规范、组件版本不匹配等问题，往往到测试甚至生产环境才被发现，修复成本高昂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借助大语言模型和 AI 编程工具，构建一套自动化的静态代码评审工具，可以在开发阶段前置发现并拦截低级错误与规范问题，将质量卡控左移，同时帮助校招生快速熟悉 AI 编程工具（如 Claude Code）的实际研发流程。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随着评审项增加，研发质量可以进一步提高。此外，可以和其他人合并代码评审项，扩展到小组层面、群层面，提高整体的研发效率。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二、作业目标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任务目标</w:t>
      </w:r>
      <w:bookmarkEnd w:id="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研发一套"面向特定场景的代码评审工具"。工具以一段代码或一个代码文件为输入，自动执行静态检查，识别其中的语法严重错误、规范问题和场景化规则违规，并输出结构化的评审报告。工具应形成完整工作链路：代码导入 → 语法解析（AST） → 规则检查 → 问题定位与分级 → 结构化报告输出。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工具需至少覆盖以下三类检查能力：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语法严重错误检查：识别可能导致逻辑错误或运行异常的严重问题，例如在条件判断中误用赋值运算符（如 </w:t>
      </w:r>
      <w:r>
        <w:rPr>
          <w:rFonts w:eastAsia="Consolas" w:ascii="Consolas" w:cs="Consolas" w:hAnsi="Consolas"/>
          <w:sz w:val="22"/>
          <w:shd w:fill="EFF0F1"/>
        </w:rPr>
        <w:t>if A = B</w:t>
      </w:r>
      <w:r>
        <w:rPr>
          <w:rFonts w:eastAsia="等线" w:ascii="Arial" w:cs="Arial" w:hAnsi="Arial"/>
          <w:sz w:val="22"/>
        </w:rPr>
        <w:t xml:space="preserve"> 应为 </w:t>
      </w:r>
      <w:r>
        <w:rPr>
          <w:rFonts w:eastAsia="Consolas" w:ascii="Consolas" w:cs="Consolas" w:hAnsi="Consolas"/>
          <w:sz w:val="22"/>
          <w:shd w:fill="EFF0F1"/>
        </w:rPr>
        <w:t>if A == B</w:t>
      </w:r>
      <w:r>
        <w:rPr>
          <w:rFonts w:eastAsia="等线" w:ascii="Arial" w:cs="Arial" w:hAnsi="Arial"/>
          <w:sz w:val="22"/>
        </w:rPr>
        <w:t>）、括号不匹配、缩进错误等。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变量声明未使用检查：识别声明或赋值后从未被引用的变量，提示冗余代码。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特定场景规则检查：支持按业务场景加载不同规则集，在通用规则基础上叠加场景专属规则（例如某场景要求函数必须包含异常处理、命名必须符合特定前缀约定等）。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学习目标</w:t>
      </w:r>
      <w:bookmarkEnd w:id="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熟悉使用 AI 工具研发工具的流程。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三、作业要求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工具要求</w:t>
      </w:r>
      <w:bookmarkEnd w:id="6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AI 编程工具（如 Claude Code）辅助完成需求分析、代码编写、调试和优化；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基于抽象语法树（AST）或等价的静态分析技术实现规则检查，不得仅用简单字符串匹配；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工具应具备基本的异常处理、日志记录和结果保存能力；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规则应支持配置化管理（如通过 JSON/YAML 配置文件定义规则），支持新增/关闭规则，无需修改核心代码；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至少支持一种编程语言的代码评审（推荐 Python），并对每个问题给出：所在行号、严重程度（error/warning/info）、规则名称、问题描述和修复建议；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至少提供一种结构化输出格式，如 JSON、Markdown 或 HTML 报告，输出结果应支持查看和保存；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基于给定的测试代码集合（包含正例与含缺陷的反例），逐个运行工具并保存完整评审结果。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支持将代码评审结果上传到 i 讯飞云文档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检查规则要求</w:t>
      </w:r>
      <w:bookmarkEnd w:id="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工具至少应实现下表列出的规则。每条规则需明确其严重程度、触发条件和输出信息。原则上不得漏报下表中的严重错误（error 级），并尽量降低误报率。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55"/>
        <w:gridCol w:w="990"/>
        <w:gridCol w:w="735"/>
        <w:gridCol w:w="2415"/>
        <w:gridCol w:w="2685"/>
      </w:tblGrid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规则名称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严重程度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输出信息示例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assign-in-condition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语法严重错误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条件判断中使用赋值运算符而非比较运算符，如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if A = B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第 N 行：条件判断中疑似误用赋值运算符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=</w:t>
            </w:r>
            <w:r>
              <w:rPr>
                <w:rFonts w:eastAsia="等线" w:ascii="Arial" w:cs="Arial" w:hAnsi="Arial"/>
                <w:sz w:val="22"/>
              </w:rPr>
              <w:t xml:space="preserve">，应为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==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syntax-error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语法严重错误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AST 解析失败的其他严重语法错误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N 行：语法错误，无法解析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unused-variable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warning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变量声明或赋值后从未被引用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第 N 行：变量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x</w:t>
            </w:r>
            <w:r>
              <w:rPr>
                <w:rFonts w:eastAsia="等线" w:ascii="Arial" w:cs="Arial" w:hAnsi="Arial"/>
                <w:sz w:val="22"/>
              </w:rPr>
              <w:t xml:space="preserve"> 声明后未被使用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undefined-variable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逻辑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引用了未定义的变量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第 N 行：引用了未定义的变量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y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unused-import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info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导入的模块/符号未被使用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第 N 行：导入的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os</w:t>
            </w:r>
            <w:r>
              <w:rPr>
                <w:rFonts w:eastAsia="等线" w:ascii="Arial" w:cs="Arial" w:hAnsi="Arial"/>
                <w:sz w:val="22"/>
              </w:rPr>
              <w:t xml:space="preserve"> 未被使用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bare-except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warning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使用裸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except:</w:t>
            </w:r>
            <w:r>
              <w:rPr>
                <w:rFonts w:eastAsia="等线" w:ascii="Arial" w:cs="Arial" w:hAnsi="Arial"/>
                <w:sz w:val="22"/>
              </w:rPr>
              <w:t xml:space="preserve"> 未指定异常类型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N 行：建议指定捕获的异常类型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prefer-orjson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warning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使用标准库 json 而非高性能的 orjson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N 行：建议使用高性能的 orjson 替代标准库 json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scenario-rule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特定场景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warning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违反当前业务场景加载的专属规则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N 行：不符合当前场景的命名/结构约定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注：以上为基线规则集，鼓励在此基础上扩展更多规则；</w:t>
      </w:r>
      <w:r>
        <w:rPr>
          <w:rFonts w:eastAsia="Consolas" w:ascii="Consolas" w:cs="Consolas" w:hAnsi="Consolas"/>
          <w:sz w:val="22"/>
          <w:shd w:fill="EFF0F1"/>
        </w:rPr>
        <w:t>scenario-rule</w:t>
      </w:r>
      <w:r>
        <w:rPr>
          <w:rFonts w:eastAsia="等线" w:ascii="Arial" w:cs="Arial" w:hAnsi="Arial"/>
          <w:sz w:val="22"/>
        </w:rPr>
        <w:t xml:space="preserve"> 需体现"按场景加载不同规则集"的设计。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分数评价标准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本作业满分 100 分，从以下六个维度综合评价。重点考察 AI 工具的实际运用能力、检查规则的准确性以及工程完整度。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25"/>
        <w:gridCol w:w="615"/>
        <w:gridCol w:w="3225"/>
        <w:gridCol w:w="3315"/>
      </w:tblGrid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评价维度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分值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评分要点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评分档次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功能完整度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是否完整实现三类核心检查（语法严重错误、变量未使用、场景规则）；链路是否贯通（导入→解析→检查→报告）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优(21-25)：三类全实现且链路完整；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良(15-20)：实现两类；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及格(9-14)：仅实现一类；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差(0-8)：核心功能缺失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检查准确性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在测试代码集上的表现：error 级问题不漏报、误报率低、行号与描述准确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优(17-20)：无漏报且误报极少；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良(12-16)：偶有误报；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及格(7-11)：漏报或误报较多；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差(0-6)：结果不可靠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工具运用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是否有效使用 Claude Code 等 AI 工具；提示词质量、人机协作过程记录是否清晰、有反思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优(17-20)：AI提效明显且过程翔实；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良(12-16)：有使用有记录；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及格(7-11)：使用较浅；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差(0-6)：几乎未体现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代码工程质量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 AST 而非字符串匹配；规则配置化、可扩展；异常处理、日志、代码结构清晰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优(13-15)：架构清晰且可扩展；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良(9-12)：结构合理；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及格(5-8)：能运行但耦合高；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差(0-4)：结构混乱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报告与演示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实践报告结构完整；架构与设计说明清晰；关键代码/界面截图、演示录屏齐全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优(13-15)：报告专业、演示完整；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良(9-12)：内容齐全；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及格(5-8)：内容简略；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差(0-4)：缺失较多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扩展性与加分项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支持多语言、自定义规则、可视化、AI  Agent评审等超出基本要求的能力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加分项，按亮点酌情给分(0-5)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评分说明：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总分 = 六个维度得分之和，满分 100 分。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error 级规则（如 </w:t>
      </w:r>
      <w:r>
        <w:rPr>
          <w:rFonts w:eastAsia="Consolas" w:ascii="Consolas" w:cs="Consolas" w:hAnsi="Consolas"/>
          <w:sz w:val="22"/>
          <w:shd w:fill="EFF0F1"/>
        </w:rPr>
        <w:t>assign-in-condition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undefined-variable</w:t>
      </w:r>
      <w:r>
        <w:rPr>
          <w:rFonts w:eastAsia="等线" w:ascii="Arial" w:cs="Arial" w:hAnsi="Arial"/>
          <w:sz w:val="22"/>
        </w:rPr>
        <w:t>）出现漏报的，"检查准确性"维度不得评为"优"。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未使用 AI 编程工具或无任何 AI 协作记录的，"AI 工具运用"维度按"差"档计分。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仅用字符串匹配实现、未使用 AST 或等价静态分析技术的，"代码工程质量"维度不得超过"及格"档。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四、作业提交格式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提交《面向特定场景的代码评审工具研发 AI 提效实践报告》的在线文档，并开放可查看权限。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在线文档至少包含以下内容：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工具总体架构和技术选型；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规则定义、AST 检查逻辑及结构化输出设计；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Claude Code 等 AI 工具的研发过程（含关键提示词）；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关键代码、工具运行界面及评审报告截图；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示例演示录屏；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提效效果总结（评审效率、问题覆盖度的前后对比）。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同时提交以下附件：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可运行的工具源代码或代码仓库链接；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README 运行说明及依赖清单；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测试代码集合的完整评审结果或附件链接。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提交案例：</w:t>
      </w:r>
      <w:hyperlink r:id="rId5">
        <w:r>
          <w:rPr>
            <w:rFonts w:eastAsia="等线" w:ascii="Arial" w:cs="Arial" w:hAnsi="Arial"/>
            <w:color w:val="3370ff"/>
            <w:sz w:val="22"/>
          </w:rPr>
          <w:t>2026校招-XX群AI提效小作业模板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五、附录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测试代码集说明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便于评估工具的检查能力，提供配套的测试代码集，包含10个Python测试文件（2个正例+8个反例）和1份标准答案JSON。测试集完整覆盖作业要求的8条基线规则，总预期问题数14个（error级4个、warning级5个、info级4个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测试集已打包为 code_review_testcases.tar.gz，包含：10个测试文件、1份标准答案、1份README使用说明。评分时，用工具逐个评审测试文件，对比实际输出与标准答案，统计漏报数（特别是error级）、误报数、行号精度。关键红线：error级问题必须全部检出，漏报则不得评为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[代码评审工具测试集.tar.gz]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Lark Cli（i讯飞版）统一认证登陆的步骤流程v2</w:t>
        </w:r>
      </w:hyperlink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5407">
    <w:lvl>
      <w:start w:val="1"/>
      <w:numFmt w:val="decimal"/>
      <w:suff w:val="tab"/>
      <w:lvlText w:val="%1."/>
      <w:rPr>
        <w:color w:val="3370ff"/>
      </w:rPr>
    </w:lvl>
  </w:abstractNum>
  <w:abstractNum w:abstractNumId="125408">
    <w:lvl>
      <w:start w:val="2"/>
      <w:numFmt w:val="decimal"/>
      <w:suff w:val="tab"/>
      <w:lvlText w:val="%1."/>
      <w:rPr>
        <w:color w:val="3370ff"/>
      </w:rPr>
    </w:lvl>
  </w:abstractNum>
  <w:abstractNum w:abstractNumId="125409">
    <w:lvl>
      <w:start w:val="3"/>
      <w:numFmt w:val="decimal"/>
      <w:suff w:val="tab"/>
      <w:lvlText w:val="%1."/>
      <w:rPr>
        <w:color w:val="3370ff"/>
      </w:rPr>
    </w:lvl>
  </w:abstractNum>
  <w:abstractNum w:abstractNumId="125410">
    <w:lvl>
      <w:numFmt w:val="bullet"/>
      <w:suff w:val="tab"/>
      <w:lvlText w:val="•"/>
      <w:rPr>
        <w:color w:val="3370ff"/>
      </w:rPr>
    </w:lvl>
  </w:abstractNum>
  <w:abstractNum w:abstractNumId="125411">
    <w:lvl>
      <w:numFmt w:val="bullet"/>
      <w:suff w:val="tab"/>
      <w:lvlText w:val="•"/>
      <w:rPr>
        <w:color w:val="3370ff"/>
      </w:rPr>
    </w:lvl>
  </w:abstractNum>
  <w:abstractNum w:abstractNumId="125412">
    <w:lvl>
      <w:numFmt w:val="bullet"/>
      <w:suff w:val="tab"/>
      <w:lvlText w:val="￮"/>
      <w:rPr>
        <w:color w:val="3370ff"/>
      </w:rPr>
    </w:lvl>
  </w:abstractNum>
  <w:abstractNum w:abstractNumId="125413">
    <w:lvl>
      <w:numFmt w:val="bullet"/>
      <w:suff w:val="tab"/>
      <w:lvlText w:val="￮"/>
      <w:rPr>
        <w:color w:val="3370ff"/>
      </w:rPr>
    </w:lvl>
  </w:abstractNum>
  <w:abstractNum w:abstractNumId="125414">
    <w:lvl>
      <w:numFmt w:val="bullet"/>
      <w:suff w:val="tab"/>
      <w:lvlText w:val="￮"/>
      <w:rPr>
        <w:color w:val="3370ff"/>
      </w:rPr>
    </w:lvl>
  </w:abstractNum>
  <w:abstractNum w:abstractNumId="125415">
    <w:lvl>
      <w:numFmt w:val="bullet"/>
      <w:suff w:val="tab"/>
      <w:lvlText w:val="￮"/>
      <w:rPr>
        <w:color w:val="3370ff"/>
      </w:rPr>
    </w:lvl>
  </w:abstractNum>
  <w:abstractNum w:abstractNumId="125416">
    <w:lvl>
      <w:numFmt w:val="bullet"/>
      <w:suff w:val="tab"/>
      <w:lvlText w:val="￮"/>
      <w:rPr>
        <w:color w:val="3370ff"/>
      </w:rPr>
    </w:lvl>
  </w:abstractNum>
  <w:abstractNum w:abstractNumId="125417">
    <w:lvl>
      <w:numFmt w:val="bullet"/>
      <w:suff w:val="tab"/>
      <w:lvlText w:val="￮"/>
      <w:rPr>
        <w:color w:val="3370ff"/>
      </w:rPr>
    </w:lvl>
  </w:abstractNum>
  <w:abstractNum w:abstractNumId="125418">
    <w:lvl>
      <w:numFmt w:val="bullet"/>
      <w:suff w:val="tab"/>
      <w:lvlText w:val="￮"/>
      <w:rPr>
        <w:color w:val="3370ff"/>
      </w:rPr>
    </w:lvl>
  </w:abstractNum>
  <w:abstractNum w:abstractNumId="125419">
    <w:lvl>
      <w:numFmt w:val="bullet"/>
      <w:suff w:val="tab"/>
      <w:lvlText w:val="•"/>
      <w:rPr>
        <w:color w:val="3370ff"/>
      </w:rPr>
    </w:lvl>
  </w:abstractNum>
  <w:abstractNum w:abstractNumId="125420">
    <w:lvl>
      <w:numFmt w:val="bullet"/>
      <w:suff w:val="tab"/>
      <w:lvlText w:val="•"/>
      <w:rPr>
        <w:color w:val="3370ff"/>
      </w:rPr>
    </w:lvl>
  </w:abstractNum>
  <w:abstractNum w:abstractNumId="125421">
    <w:lvl>
      <w:numFmt w:val="bullet"/>
      <w:suff w:val="tab"/>
      <w:lvlText w:val="•"/>
      <w:rPr>
        <w:color w:val="3370ff"/>
      </w:rPr>
    </w:lvl>
  </w:abstractNum>
  <w:abstractNum w:abstractNumId="125422">
    <w:lvl>
      <w:numFmt w:val="bullet"/>
      <w:suff w:val="tab"/>
      <w:lvlText w:val="•"/>
      <w:rPr>
        <w:color w:val="3370ff"/>
      </w:rPr>
    </w:lvl>
  </w:abstractNum>
  <w:abstractNum w:abstractNumId="125423">
    <w:lvl>
      <w:numFmt w:val="bullet"/>
      <w:suff w:val="tab"/>
      <w:lvlText w:val="•"/>
      <w:rPr>
        <w:color w:val="3370ff"/>
      </w:rPr>
    </w:lvl>
  </w:abstractNum>
  <w:abstractNum w:abstractNumId="125424">
    <w:lvl>
      <w:numFmt w:val="bullet"/>
      <w:suff w:val="tab"/>
      <w:lvlText w:val="•"/>
      <w:rPr>
        <w:color w:val="3370ff"/>
      </w:rPr>
    </w:lvl>
  </w:abstractNum>
  <w:abstractNum w:abstractNumId="125425">
    <w:lvl>
      <w:numFmt w:val="bullet"/>
      <w:suff w:val="tab"/>
      <w:lvlText w:val="•"/>
      <w:rPr>
        <w:color w:val="3370ff"/>
      </w:rPr>
    </w:lvl>
  </w:abstractNum>
  <w:abstractNum w:abstractNumId="125426">
    <w:lvl>
      <w:numFmt w:val="bullet"/>
      <w:suff w:val="tab"/>
      <w:lvlText w:val="•"/>
      <w:rPr>
        <w:color w:val="3370ff"/>
      </w:rPr>
    </w:lvl>
  </w:abstractNum>
  <w:abstractNum w:abstractNumId="125427">
    <w:lvl>
      <w:numFmt w:val="bullet"/>
      <w:suff w:val="tab"/>
      <w:lvlText w:val="•"/>
      <w:rPr>
        <w:color w:val="3370ff"/>
      </w:rPr>
    </w:lvl>
  </w:abstractNum>
  <w:abstractNum w:abstractNumId="125428">
    <w:lvl>
      <w:numFmt w:val="bullet"/>
      <w:suff w:val="tab"/>
      <w:lvlText w:val="•"/>
      <w:rPr>
        <w:color w:val="3370ff"/>
      </w:rPr>
    </w:lvl>
  </w:abstractNum>
  <w:abstractNum w:abstractNumId="125429">
    <w:lvl>
      <w:numFmt w:val="bullet"/>
      <w:suff w:val="tab"/>
      <w:lvlText w:val="•"/>
      <w:rPr>
        <w:color w:val="3370ff"/>
      </w:rPr>
    </w:lvl>
  </w:abstractNum>
  <w:abstractNum w:abstractNumId="125430">
    <w:lvl>
      <w:numFmt w:val="bullet"/>
      <w:suff w:val="tab"/>
      <w:lvlText w:val="•"/>
      <w:rPr>
        <w:color w:val="3370ff"/>
      </w:rPr>
    </w:lvl>
  </w:abstractNum>
  <w:abstractNum w:abstractNumId="125431">
    <w:lvl>
      <w:numFmt w:val="bullet"/>
      <w:suff w:val="tab"/>
      <w:lvlText w:val="•"/>
      <w:rPr>
        <w:color w:val="3370ff"/>
      </w:rPr>
    </w:lvl>
  </w:abstractNum>
  <w:num w:numId="1">
    <w:abstractNumId w:val="125407"/>
  </w:num>
  <w:num w:numId="2">
    <w:abstractNumId w:val="125408"/>
  </w:num>
  <w:num w:numId="3">
    <w:abstractNumId w:val="125409"/>
  </w:num>
  <w:num w:numId="4">
    <w:abstractNumId w:val="125410"/>
  </w:num>
  <w:num w:numId="5">
    <w:abstractNumId w:val="125411"/>
  </w:num>
  <w:num w:numId="6">
    <w:abstractNumId w:val="125412"/>
  </w:num>
  <w:num w:numId="7">
    <w:abstractNumId w:val="125413"/>
  </w:num>
  <w:num w:numId="8">
    <w:abstractNumId w:val="125414"/>
  </w:num>
  <w:num w:numId="9">
    <w:abstractNumId w:val="125415"/>
  </w:num>
  <w:num w:numId="10">
    <w:abstractNumId w:val="125416"/>
  </w:num>
  <w:num w:numId="11">
    <w:abstractNumId w:val="125417"/>
  </w:num>
  <w:num w:numId="12">
    <w:abstractNumId w:val="125418"/>
  </w:num>
  <w:num w:numId="13">
    <w:abstractNumId w:val="125419"/>
  </w:num>
  <w:num w:numId="14">
    <w:abstractNumId w:val="125420"/>
  </w:num>
  <w:num w:numId="15">
    <w:abstractNumId w:val="125421"/>
  </w:num>
  <w:num w:numId="16">
    <w:abstractNumId w:val="125422"/>
  </w:num>
  <w:num w:numId="17">
    <w:abstractNumId w:val="125423"/>
  </w:num>
  <w:num w:numId="18">
    <w:abstractNumId w:val="125424"/>
  </w:num>
  <w:num w:numId="19">
    <w:abstractNumId w:val="125425"/>
  </w:num>
  <w:num w:numId="20">
    <w:abstractNumId w:val="125426"/>
  </w:num>
  <w:num w:numId="21">
    <w:abstractNumId w:val="125427"/>
  </w:num>
  <w:num w:numId="22">
    <w:abstractNumId w:val="125428"/>
  </w:num>
  <w:num w:numId="23">
    <w:abstractNumId w:val="125429"/>
  </w:num>
  <w:num w:numId="24">
    <w:abstractNumId w:val="125430"/>
  </w:num>
  <w:num w:numId="25">
    <w:abstractNumId w:val="12543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yf2ljykclb.xfchat.iflytek.com/docx/doxrzVge1VjyHQ1gLR2LZs2Zzch" TargetMode="External" Type="http://schemas.openxmlformats.org/officeDocument/2006/relationships/hyperlink"/><Relationship Id="rId6" Target="https://yf2ljykclb.xfchat.iflytek.com/docx/doxrz3fnFG6rJhkOgXn6voA0n3d" TargetMode="External" Type="http://schemas.openxmlformats.org/officeDocument/2006/relationships/hyperlink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2026-08-25T03:05:24Z</dcterms:created>
  <dc:creator>Apache POI</dc:creator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da5d3820a03111f180002b7d00002b7d" pid="2" fmtid="{D5CDD505-2E9C-101B-9397-08002B2CF9AE}">
    <vt:lpwstr>CWMVrceGXeKhD8Oud5MUmzeyNK9DVRpHz5L94ZpWZ4AJCJ5CLwtFbGONv2YOpzlM6lMwMkjuHLoRd7KPl9Rup9Xvg==</vt:lpwstr>
  </property>
</Properties>
</file>