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Microsoft YaHei" w:hAnsi="Arial"/>
          <w:b/>
          <w:bCs/>
          <w:sz w:val="40"/>
          <w:szCs w:val="40"/>
        </w:rPr>
        <w:t xml:space="preserve">Figure 4.4  进展模式与死亡方式关联分析</w:t>
      </w:r>
    </w:p>
    <w:p>
      <w:pPr>
        <w:spacing w:after="600"/>
        <w:jc w:val="center"/>
      </w:pPr>
      <w:r>
        <w:rPr>
          <w:rFonts w:ascii="Arial" w:cs="Arial" w:eastAsia="Microsoft YaHei" w:hAnsi="Arial"/>
          <w:color w:val="52514E"/>
          <w:sz w:val="30"/>
          <w:szCs w:val="30"/>
        </w:rPr>
        <w:t xml:space="preserve">分析方法、分析目的与结果阐释说明</w:t>
      </w:r>
    </w:p>
    <w:p>
      <w:pPr>
        <w:spacing w:after="120"/>
        <w:jc w:val="center"/>
      </w:pPr>
      <w:r>
        <w:rPr>
          <w:rFonts w:ascii="Arial" w:cs="Arial" w:eastAsia="Microsoft YaHei" w:hAnsi="Arial"/>
          <w:sz w:val="22"/>
          <w:szCs w:val="22"/>
        </w:rPr>
        <w:t xml:space="preserve">HCC 一线治疗队列（HAIC_Systemic / TACE_Systemic / Systemic）· 首次影像学进展患者 n = 1786</w:t>
      </w:r>
    </w:p>
    <w:p>
      <w:pPr>
        <w:spacing w:after="120"/>
        <w:jc w:val="center"/>
      </w:pPr>
      <w:r>
        <w:rPr>
          <w:rFonts w:ascii="Arial" w:cs="Arial" w:eastAsia="Microsoft YaHei" w:hAnsi="Arial"/>
          <w:color w:val="52514E"/>
          <w:sz w:val="22"/>
          <w:szCs w:val="22"/>
        </w:rPr>
        <w:t xml:space="preserve">数据截止 2025-09-30 · 分析日期 2026-10-11 · R 4.3.3</w:t>
      </w:r>
    </w:p>
    <w:p>
      <w:r>
        <w:br w:type="page"/>
      </w:r>
    </w:p>
    <w:p>
      <w:pPr>
        <w:spacing w:after="200"/>
      </w:pPr>
      <w:r>
        <w:rPr>
          <w:rFonts w:ascii="Arial" w:cs="Arial" w:eastAsia="Microsoft YaHei" w:hAnsi="Arial"/>
          <w:b/>
          <w:bCs/>
          <w:sz w:val="30"/>
          <w:szCs w:val="30"/>
        </w:rPr>
        <w:t xml:space="preserve">目录</w:t>
      </w:r>
    </w:p>
    <w:p>
      <w:pPr>
        <w:spacing w:after="140"/>
      </w:pPr>
      <w:r>
        <w:rPr>
          <w:rFonts w:ascii="Arial" w:cs="Arial" w:eastAsia="Microsoft YaHei" w:hAnsi="Arial"/>
          <w:sz w:val="22"/>
          <w:szCs w:val="22"/>
        </w:rPr>
        <w:t xml:space="preserve">要点摘要</w:t>
      </w:r>
    </w:p>
    <w:p>
      <w:pPr>
        <w:spacing w:after="140"/>
      </w:pPr>
      <w:r>
        <w:rPr>
          <w:rFonts w:ascii="Arial" w:cs="Arial" w:eastAsia="Microsoft YaHei" w:hAnsi="Arial"/>
          <w:sz w:val="22"/>
          <w:szCs w:val="22"/>
        </w:rPr>
        <w:t xml:space="preserve">1. 交付文件清单</w:t>
      </w:r>
    </w:p>
    <w:p>
      <w:pPr>
        <w:spacing w:after="140"/>
      </w:pPr>
      <w:r>
        <w:rPr>
          <w:rFonts w:ascii="Arial" w:cs="Arial" w:eastAsia="Microsoft YaHei" w:hAnsi="Arial"/>
          <w:sz w:val="22"/>
          <w:szCs w:val="22"/>
        </w:rPr>
        <w:t xml:space="preserve">2. 研究设计与数据准备（总体设计、数据核对、9 模式归类、结局编码）</w:t>
      </w:r>
    </w:p>
    <w:p>
      <w:pPr>
        <w:spacing w:after="140"/>
      </w:pPr>
      <w:r>
        <w:rPr>
          <w:rFonts w:ascii="Arial" w:cs="Arial" w:eastAsia="Microsoft YaHei" w:hAnsi="Arial"/>
          <w:sz w:val="22"/>
          <w:szCs w:val="22"/>
        </w:rPr>
        <w:t xml:space="preserve">3. 4.4A 绝对风险层面（A1 CIF 矩阵、A2 ARD、A3 死因构成、A4 PMR 富集）</w:t>
      </w:r>
    </w:p>
    <w:p>
      <w:pPr>
        <w:spacing w:after="140"/>
      </w:pPr>
      <w:r>
        <w:rPr>
          <w:rFonts w:ascii="Arial" w:cs="Arial" w:eastAsia="Microsoft YaHei" w:hAnsi="Arial"/>
          <w:sz w:val="22"/>
          <w:szCs w:val="22"/>
        </w:rPr>
        <w:t xml:space="preserve">4. 4.4B 相对风险层面（B1 csHR / sHR 矩阵，参照 Sys-TG；B2 Lunn–McNeil 检验）</w:t>
      </w:r>
    </w:p>
    <w:p>
      <w:pPr>
        <w:spacing w:after="140"/>
      </w:pPr>
      <w:r>
        <w:rPr>
          <w:rFonts w:ascii="Arial" w:cs="Arial" w:eastAsia="Microsoft YaHei" w:hAnsi="Arial"/>
          <w:sz w:val="22"/>
          <w:szCs w:val="22"/>
        </w:rPr>
        <w:t xml:space="preserve">5. 验证与敏感性分析</w:t>
      </w:r>
    </w:p>
    <w:p>
      <w:pPr>
        <w:spacing w:after="140"/>
      </w:pPr>
      <w:r>
        <w:rPr>
          <w:rFonts w:ascii="Arial" w:cs="Arial" w:eastAsia="Microsoft YaHei" w:hAnsi="Arial"/>
          <w:sz w:val="22"/>
          <w:szCs w:val="22"/>
        </w:rPr>
        <w:t xml:space="preserve">6. 综合解读与写作建议</w:t>
      </w:r>
    </w:p>
    <w:p>
      <w:pPr>
        <w:spacing w:after="140"/>
      </w:pPr>
      <w:r>
        <w:rPr>
          <w:rFonts w:ascii="Arial" w:cs="Arial" w:eastAsia="Microsoft YaHei" w:hAnsi="Arial"/>
          <w:sz w:val="22"/>
          <w:szCs w:val="22"/>
        </w:rPr>
        <w:t xml:space="preserve">7. R 代码说明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YaHei" w:hAnsi="Arial"/>
        </w:rPr>
        <w:t xml:space="preserve">要点摘要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研究问题</w:t>
      </w:r>
      <w:r>
        <w:rPr>
          <w:rFonts w:ascii="Arial" w:cs="Arial" w:eastAsia="Microsoft YaHei" w:hAnsi="Arial"/>
        </w:rPr>
        <w:t xml:space="preserve">：发生首次影像学进展后，不同进展模式（9 类）与进展后全因死亡及 4 类特异性死因之间的关联。时间零点为首次进展日期。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绝对风险（4.4A）</w:t>
      </w:r>
      <w:r>
        <w:rPr>
          <w:rFonts w:ascii="Arial" w:cs="Arial" w:eastAsia="Microsoft YaHei" w:hAnsi="Arial"/>
        </w:rPr>
        <w:t xml:space="preserve">：进展后 12 个月调整后全因死亡累积发生率（CIF）从 IH-NL 的 57.9% 到 Sys-TG 的 79.1%，全人群标准化平均为 66.1%。各模式中肝内 HCC 死亡均为最主要死因；系统性 HCC 死亡集中在 Sys 类模式（12 个月 CIF 24–26%，而 IH 类约 10%）。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ARD（A2）</w:t>
      </w:r>
      <w:r>
        <w:rPr>
          <w:rFonts w:ascii="Arial" w:cs="Arial" w:eastAsia="Microsoft YaHei" w:hAnsi="Arial"/>
        </w:rPr>
        <w:t xml:space="preserve">：与人群标准化平均相比，IH-NL（−8.2 个百分点）和 IH-TG（−4.1）全因死亡更低；Sys-TG（+13.0）、EH-TG（+8.8）、Sys-TG+NL（+8.2）、Sys-NL（+7.9）更高。系统性 HCC 死亡在三种 Sys 模式中均高出约 9–11 个百分点。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死因构成与 PMR（A3、A4）</w:t>
      </w:r>
      <w:r>
        <w:rPr>
          <w:rFonts w:ascii="Arial" w:cs="Arial" w:eastAsia="Microsoft YaHei" w:hAnsi="Arial"/>
        </w:rPr>
        <w:t xml:space="preserve">：IH 类模式中约 70% 的死亡为肝内 HCC 死亡（PMR 1.12–1.18）；Sys 类模式中系统性 HCC 死亡约占 1/3（Sys-TG+NL PMR 1.51）；Sys-NL 的肝外 HCC 死亡富集（PMR 1.89）。死因构成在 6、12、24 个月基本稳定。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相对风险（4.4B，参照 Sys-TG）</w:t>
      </w:r>
      <w:r>
        <w:rPr>
          <w:rFonts w:ascii="Arial" w:cs="Arial" w:eastAsia="Microsoft YaHei" w:hAnsi="Arial"/>
        </w:rPr>
        <w:t xml:space="preserve">：IH-TG、IH-NL、EH-NL 的全因死亡风险显著低于 Sys-TG（HR 0.46–0.58）；所有 IH 类模式和 EH-TG、EH-NL 的系统性 HCC 死亡风险显著低于 Sys-TG（csHR 0.24–0.48），而 Sys-NL、Sys-TG+NL 与 Sys-TG 相近。整体 Wald 检验（与参照无关）：全因、肝内、肝外、系统性死亡均 P &lt; 0.001，Non-HCC 死亡 P = 0.40。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跨死因异质性（B2）</w:t>
      </w:r>
      <w:r>
        <w:rPr>
          <w:rFonts w:ascii="Arial" w:cs="Arial" w:eastAsia="Microsoft YaHei" w:hAnsi="Arial"/>
        </w:rPr>
        <w:t xml:space="preserve">：Lunn–McNeil 检验显示，进展模式对三种 HCC 相关死因的作用不同（χ²(16) = 60.5，P &lt; 0.001）。这种差异主要由进展</w:t>
      </w:r>
      <w:r>
        <w:rPr>
          <w:rFonts w:ascii="Arial" w:cs="Arial" w:eastAsia="Microsoft YaHei" w:hAnsi="Arial"/>
          <w:b/>
          <w:bCs/>
        </w:rPr>
        <w:t xml:space="preserve">部位</w:t>
      </w:r>
      <w:r>
        <w:rPr>
          <w:rFonts w:ascii="Arial" w:cs="Arial" w:eastAsia="Microsoft YaHei" w:hAnsi="Arial"/>
        </w:rPr>
        <w:t xml:space="preserve">决定（部位 × 死因 χ²(4) = 48.6，P &lt; 0.001），与 TG/NL </w:t>
      </w:r>
      <w:r>
        <w:rPr>
          <w:rFonts w:ascii="Arial" w:cs="Arial" w:eastAsia="Microsoft YaHei" w:hAnsi="Arial"/>
          <w:b/>
          <w:bCs/>
        </w:rPr>
        <w:t xml:space="preserve">形式</w:t>
      </w:r>
      <w:r>
        <w:rPr>
          <w:rFonts w:ascii="Arial" w:cs="Arial" w:eastAsia="Microsoft YaHei" w:hAnsi="Arial"/>
        </w:rPr>
        <w:t xml:space="preserve">关系不大（P = 0.12）。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稳健性</w:t>
      </w:r>
      <w:r>
        <w:rPr>
          <w:rFonts w:ascii="Arial" w:cs="Arial" w:eastAsia="Microsoft YaHei" w:hAnsi="Arial"/>
        </w:rPr>
        <w:t xml:space="preserve">：排除死因无法判定者、纳入删除标记病例、用 Firth 惩罚回归后，结论方向一致；进展部位与治疗组无显著交互（P = 0.13），支持三组合并分析。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1. 交付文件清单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Fig4.4A_main_CIF12_plus_composition.pdf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正文主图 A：12 个月调整后 CIF 矩阵 + 12 个月死因构成条形图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Fig4.4A1_adjusted_CIF12_matrix.pdf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A1：12 个月调整后 CIF 矩阵（9 模式 × 4 死因 + 全因）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Fig4.4A2_ARD12_vs_population_average.pdf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A2：ARD（模式 CIF − 人群标准化平均 CIF）热图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Fig4.4A3_cause_composition_6_12_24m.pdf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A3：6、12、24 个月死因构成（100% 堆叠条形图）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Fig4.4A4_PMR12_enrichment.pdf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A4：CIF-based PMR 富集森林图（含 Holm 校正后续检验 P 值）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Fig4.4B1_csHR_matrix_refSysTG.pdf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B1：Sys-TG 参照的 HR / csHR 矩阵 + 整体 Wald P + Lunn–McNeil P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Fig4.4B1_sHR_matrix_refSysTG.pdf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B1：Sys-TG 参照的 sHR（Fine–Gray）矩阵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Fig4.4B2_LunnMcNeil_tests.pdf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B2：Lunn–McNeil 异质性检验 + 加权效应编码后续检验表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Fig4.4_Supplementary.pdf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补充图 10 页：未调整 AJ、6/24 个月 CIF、6/24 个月 ARD 与 PMR、Firth、排除无法判定死因、纳入删除标记病例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Fig4.4_Full_Report.pdf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汇总报告：上述全部图 + 队列流程、事件数、检验表、验证表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Fig4.4_Tables.xlsx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所有估计值（CIF/ARD/Q/PMR/HR，含 95% CI 与事件数，6/12/24 个月）及各检验 P 值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R/fig4_4_analysis.R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完整可复现 R 脚本（UTF-8 编码）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Methods_Fig4.4.md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英文 Statistical analysis 段落</w:t>
            </w:r>
          </w:p>
        </w:tc>
      </w:tr>
      <w:tr>
        <w:tc>
          <w:tcPr>
            <w:tcW w:type="dxa" w:w="3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output/png/</w:t>
            </w:r>
          </w:p>
        </w:tc>
        <w:tc>
          <w:tcPr>
            <w:tcW w:type="dxa" w:w="5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所有图的 PNG 版本</w:t>
            </w:r>
          </w:p>
        </w:tc>
      </w:tr>
    </w:tbl>
    <w:p>
      <w:pPr>
        <w:pStyle w:val="Heading1"/>
      </w:pPr>
      <w:r>
        <w:rPr>
          <w:rFonts w:ascii="Arial" w:cs="Arial" w:eastAsia="Microsoft YaHei" w:hAnsi="Arial"/>
        </w:rPr>
        <w:t xml:space="preserve">2. 研究设计与数据准备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2.1 总体设计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研究人群：</w:t>
      </w:r>
      <w:r>
        <w:rPr>
          <w:rFonts w:ascii="Arial" w:cs="Arial" w:eastAsia="Microsoft YaHei" w:hAnsi="Arial"/>
        </w:rPr>
        <w:t xml:space="preserve">首次影像学进展的患者（无进展死亡者不纳入）。时间零点 = 首次进展日期，随访至死亡或末次随访。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为何不用“无进展”作参照：</w:t>
      </w:r>
      <w:r>
        <w:rPr>
          <w:rFonts w:ascii="Arial" w:cs="Arial" w:eastAsia="Microsoft YaHei" w:hAnsi="Arial"/>
        </w:rPr>
        <w:t xml:space="preserve">以“无进展”患者为对照会引入不朽时间偏倚（immortal time bias），且比较的问题本身不对：我们关心的是“已经进展的患者中，哪种进展方式预示哪种死亡”，因此只在进展患者内部比较。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三组治疗合并：</w:t>
      </w:r>
      <w:r>
        <w:rPr>
          <w:rFonts w:ascii="Arial" w:cs="Arial" w:eastAsia="Microsoft YaHei" w:hAnsi="Arial"/>
        </w:rPr>
        <w:t xml:space="preserve">三种治疗合并分析，所有模型以 strata(Group) 分层（每组允许不同的基线风险），不比较治疗组间差异（该问题已在 4.2 回答）。部位 × 治疗组交互检验 P = 0.13、模式 × 治疗组 P = 0.087，支持合并。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协变量：</w:t>
      </w:r>
      <w:r>
        <w:rPr>
          <w:rFonts w:ascii="Arial" w:cs="Arial" w:eastAsia="Microsoft YaHei" w:hAnsi="Arial"/>
        </w:rPr>
        <w:t xml:space="preserve">TTP（治疗开始到首次进展的时间，月）+ 基线变量：年龄（每 10 岁）、性别、HBV、ECOG PS（0/1/2）、ALBI 分级（1/2a vs 2b/3）、AFP ≥ 400、PIVKA-II ≥ 1000、肿瘤数 &gt; 3、肿瘤大小（≤5 / 5–10 / &gt;10 cm / 浸润型）、Vp 分级、HVTT、EHS、肝硬化。进展时状态与后线治疗可能是中介变量，不纳入。Vp 分级缺失 9 例：PVTT = 0 记为 Absent，否则取众数。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为何调整 TTP：</w:t>
      </w:r>
      <w:r>
        <w:rPr>
          <w:rFonts w:ascii="Arial" w:cs="Arial" w:eastAsia="Microsoft YaHei" w:hAnsi="Arial"/>
        </w:rPr>
        <w:t xml:space="preserve">TTP 同时影响进展模式（早期进展更易为系统性进展）和进展后生存（侵袭性肿瘤），是关键混杂因素。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2.2 数据核对与队列流程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三张表（疗效、基线、死因）按序号逐行一致：编号、Group、patient_sn 和基线日期全部吻合。全队列 2056 例死亡中 2040 例有死因记录，16 例缺失；这 16 例均不在分析队列中（无进展死亡或被排除），因此分析队列的 1186 例死亡全部有死因记录。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2000"/>
      </w:tblGrid>
      <w:tr>
        <w:trPr>
          <w:tblHeader/>
        </w:trPr>
        <w:tc>
          <w:tcPr>
            <w:tcW w:type="dxa" w:w="7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7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全部患者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4204</w:t>
            </w:r>
          </w:p>
        </w:tc>
      </w:tr>
      <w:tr>
        <w:tc>
          <w:tcPr>
            <w:tcW w:type="dxa" w:w="7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PFS 事件（进展或死亡）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2239</w:t>
            </w:r>
          </w:p>
        </w:tc>
      </w:tr>
      <w:tr>
        <w:tc>
          <w:tcPr>
            <w:tcW w:type="dxa" w:w="7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 排除：无进展死亡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</w:tr>
      <w:tr>
        <w:tc>
          <w:tcPr>
            <w:tcW w:type="dxa" w:w="7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首次影像学进展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1798</w:t>
            </w:r>
          </w:p>
        </w:tc>
      </w:tr>
      <w:tr>
        <w:tc>
          <w:tcPr>
            <w:tcW w:type="dxa" w:w="7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 排除：PPOS 缺失（PFS &gt; OS，数据错误）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 排除：死因表 Delete 标记（非 HCC 组织学、合并其他肿瘤、外院治疗、长期失访；“可纳入”者保留）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分析队列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1786（死亡 1186）</w:t>
            </w:r>
          </w:p>
        </w:tc>
      </w:tr>
    </w:tbl>
    <w:p>
      <w:pPr>
        <w:spacing w:after="80"/>
      </w:pPr>
    </w:p>
    <w:p>
      <w:pPr>
        <w:pBdr>
          <w:left w:val="single" w:color="EDA100" w:sz="12" w:space="8"/>
        </w:pBdr>
        <w:spacing w:after="120" w:line="280"/>
        <w:ind w:left="200"/>
      </w:pPr>
      <w:r>
        <w:rPr>
          <w:rFonts w:ascii="Arial" w:cs="Arial" w:eastAsia="Microsoft YaHei" w:hAnsi="Arial"/>
          <w:color w:val="52514E"/>
          <w:sz w:val="19"/>
          <w:szCs w:val="19"/>
        </w:rPr>
        <w:t xml:space="preserve">数据问题提示：有 94 例进展患者 PPOS_status = 1，但 Death_status_0930 = 0 且无死因记录。本分析统一以 Death_status_0930 判定死亡（与死因表一致）。进展后中位随访（反向 KM）18.7 个月（17.3–21.1）。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2.3 9 种进展模式的归类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按《解剖分类 × 肿瘤模式分类》文档：癌栓升级（TTU）并入肝内病灶增大（IHG），新发血管侵犯（nMVI）并入肝内新发病灶（NIH）。然后按</w:t>
      </w:r>
      <w:r>
        <w:rPr>
          <w:rFonts w:ascii="Arial" w:cs="Arial" w:eastAsia="Microsoft YaHei" w:hAnsi="Arial"/>
          <w:b/>
          <w:bCs/>
        </w:rPr>
        <w:t xml:space="preserve">部位 × 形式</w:t>
      </w:r>
      <w:r>
        <w:rPr>
          <w:rFonts w:ascii="Arial" w:cs="Arial" w:eastAsia="Microsoft YaHei" w:hAnsi="Arial"/>
        </w:rPr>
        <w:t xml:space="preserve">交叉归类：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部位</w:t>
      </w:r>
      <w:r>
        <w:rPr>
          <w:rFonts w:ascii="Arial" w:cs="Arial" w:eastAsia="Microsoft YaHei" w:hAnsi="Arial"/>
        </w:rPr>
        <w:t xml:space="preserve">：出现系统性肿瘤增大（STG），或同时有肝内和肝外成分 → Sys；只有肝内成分 → IH；只有肝外成分 → EH。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形式</w:t>
      </w:r>
      <w:r>
        <w:rPr>
          <w:rFonts w:ascii="Arial" w:cs="Arial" w:eastAsia="Microsoft YaHei" w:hAnsi="Arial"/>
        </w:rPr>
        <w:t xml:space="preserve">：只有增大类成分（IHG / EHG / STG）→ TG；只有新发类成分（NIH / NEH）→ NL；两者都有 → TG+NL。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38"/>
        <w:gridCol w:w="12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模式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包含的成分组合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死亡数</w:t>
            </w:r>
          </w:p>
        </w:tc>
      </w:tr>
      <w:t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IH-TG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IHG（含 TTU）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</w:tr>
      <w:t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IH-NL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NIH（含 nMVI）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</w:tr>
      <w:t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IH-TG+NL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IHG + NIH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EH-TG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EHG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</w:tr>
      <w:t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EH-NL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NEH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</w:tr>
      <w:t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EH-TG+NL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EHG + NEH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Sys-TG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仅增大且涉及系统性：STG（52）、STG + TTU（14）、EHG + TTU（8）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Sys-NL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NIH + NEH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Sys-TG+NL</w:t>
            </w:r>
          </w:p>
        </w:tc>
        <w:tc>
          <w:tcPr>
            <w:tcW w:type="dxa" w:w="5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涉及系统性且同时有增大与新发（如 IHG + NEH、STG + NEH 等）</w:t>
            </w:r>
          </w:p>
        </w:tc>
        <w:tc>
          <w:tcPr>
            <w:tcW w:type="dxa" w:w="1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1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</w:tr>
    </w:tbl>
    <w:p>
      <w:pPr>
        <w:spacing w:after="80"/>
      </w:pPr>
    </w:p>
    <w:p>
      <w:pPr>
        <w:pBdr>
          <w:left w:val="single" w:color="EDA100" w:sz="12" w:space="8"/>
        </w:pBdr>
        <w:spacing w:after="120" w:line="280"/>
        <w:ind w:left="200"/>
      </w:pPr>
      <w:r>
        <w:rPr>
          <w:rFonts w:ascii="Arial" w:cs="Arial" w:eastAsia="Microsoft YaHei" w:hAnsi="Arial"/>
          <w:color w:val="52514E"/>
          <w:sz w:val="19"/>
          <w:szCs w:val="19"/>
        </w:rPr>
        <w:t xml:space="preserve">STG + TTU 和 EHG + TTU 按“TTU 属于 IHG”处理后均为仅增大的系统性进展，归入 Sys-TG（共 74 例），与原图一致。逐个成分组合的归类见 xlsx 的 Pattern_classification 表和汇总报告。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2.4 结局编码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38"/>
        <w:gridCol w:w="2000"/>
      </w:tblGrid>
      <w:tr>
        <w:trPr>
          <w:tblHeader/>
        </w:trPr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死因类别</w:t>
            </w:r>
          </w:p>
        </w:tc>
        <w:tc>
          <w:tcPr>
            <w:tcW w:type="dxa" w:w="4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来源（Cause_of_Mortality）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进展后死亡数</w:t>
            </w:r>
          </w:p>
        </w:tc>
      </w:tr>
      <w:tr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肝内 HCC 死亡（IH）</w:t>
            </w:r>
          </w:p>
        </w:tc>
        <w:tc>
          <w:tcPr>
            <w:tcW w:type="dxa" w:w="4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Intrahepatic HCC-related Cause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696</w:t>
            </w:r>
          </w:p>
        </w:tc>
      </w:tr>
      <w:tr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肝外 HCC 死亡（EH）</w:t>
            </w:r>
          </w:p>
        </w:tc>
        <w:tc>
          <w:tcPr>
            <w:tcW w:type="dxa" w:w="4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Extrahepatic HCC-related Cause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</w:tr>
      <w:tr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系统性 HCC 死亡（Sys）</w:t>
            </w:r>
          </w:p>
        </w:tc>
        <w:tc>
          <w:tcPr>
            <w:tcW w:type="dxa" w:w="4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Systemic HCC-related Cause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</w:tr>
      <w:tr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Non-HCC 死亡</w:t>
            </w:r>
          </w:p>
        </w:tc>
        <w:tc>
          <w:tcPr>
            <w:tcW w:type="dxa" w:w="4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Liver-related (16) + Other Causes (59) + Treatment-related (5)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无法判定</w:t>
            </w:r>
          </w:p>
        </w:tc>
        <w:tc>
          <w:tcPr>
            <w:tcW w:type="dxa" w:w="4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Unclassified HCC-related (2) + Unknown (6)；分析队列中无死因缺失者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“无法判定”作为单独的竞争事件保留在 CIF 计算中，使各死因 CIF 之和等于全因死亡；不纳入 Lunn–McNeil 检验；敏感性分析中排除。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YaHei" w:hAnsi="Arial"/>
        </w:rPr>
        <w:t xml:space="preserve">3. 4.4A 绝对风险层面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4.4A 回答“某种进展模式的患者，在进展后一段时间内死于各种原因的概率是多少”。绝对风险不依赖参照组的选择，临床上最直观。A1–A4 来自同一套模型和同一次 bootstrap，彼此完全一致。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3.1 A1 调整后 12 个月 CIF 矩阵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分析手段：</w:t>
      </w:r>
      <w:r>
        <w:rPr>
          <w:rFonts w:ascii="Arial" w:cs="Arial" w:eastAsia="Microsoft YaHei" w:hAnsi="Arial"/>
        </w:rPr>
        <w:t xml:space="preserve">① 对每种死因 j 拟合 cause-specific Cox 模型：Surv(PPOS, 死因 = j) ~ 模式 + TTP + 协变量 + strata(Group)；② 由各死因的 cs-Cox 合成个体 CIF：F_j(t) = Σ S(u−) dΛ_j(u)，S = exp(−Σ_j Λ_j)，因此各死因 CIF 之和自动等于全因死亡；③ G-computation（标准化）：把全部 1786 例进展患者的模式依次设为 k，保留各自协变量和治疗组，预测 12 个月 CIF 后取平均，得到标准化 CIF；④ 95% CI 为以患者为单位的非参数 bootstrap（1000 次，每次重新拟合全部模型）。自编 CIF 计算与 riskRegression::predictRisk 的差异小于 10⁻¹⁵（数值一致）。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分析目的：</w:t>
      </w:r>
      <w:r>
        <w:rPr>
          <w:rFonts w:ascii="Arial" w:cs="Arial" w:eastAsia="Microsoft YaHei" w:hAnsi="Arial"/>
        </w:rPr>
        <w:t xml:space="preserve">给出“如果所有进展患者都发生模式 k，12 个月内各死因的平均死亡概率”。标准化消除了不同模式患者基线特征和 TTP 的差异，使各模式可在同一人群上直接比较。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152900"/>
            <wp:effectExtent t="0" r="0" b="0" l="0"/>
            <wp:docPr id="1" name="Fig4.4A1_adjusted_CIF12_matrix.png" descr="图 A1  调整后 12 个月 CIF 矩阵（%，95% bootstrap CI；n = 12 个月内事件数）" title="图 A1  调整后 12 个月 CIF 矩阵（%，95% bootstrap CI；n = 12 个月内事件数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i/>
          <w:iCs/>
          <w:color w:val="52514E"/>
          <w:sz w:val="18"/>
          <w:szCs w:val="18"/>
        </w:rPr>
        <w:t xml:space="preserve">图 A1  调整后 12 个月 CIF 矩阵（%，95% bootstrap CI；n = 12 个月内事件数）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主要结果：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1640"/>
        <w:gridCol w:w="1640"/>
        <w:gridCol w:w="1640"/>
        <w:gridCol w:w="1648"/>
        <w:gridCol w:w="1640"/>
      </w:tblGrid>
      <w:tr>
        <w:trPr>
          <w:tblHeader/>
        </w:trP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模式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全因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肝内 HCC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肝外 HCC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系统性 HCC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Non-HCC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Sys-TG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79.1 (70.5–88.1)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46.6 (35.9–57.4)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4.6 (0.8–11.6)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25.4 (15.5–36.9)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2.3 (0.0–8.0)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EH-TG+NL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75.4 (63.1–87.5)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36.1 (20.3–51.0)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9.4 (0.0–20.5)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17.2 (6.6–31.2)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12.4 (0.0–29.7)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EH-TG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74.9 (67.8–81.8)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47.0 (37.5–55.9)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10.1 (5.2–15.8)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14.2 (8.2–21.0)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3.3 (0.6–8.0)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Sys-TG+NL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74.3 (68.2–80.9)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37.4 (30.9–44.4)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7.4 (3.8–11.7)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25.6 (19.6–31.8)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3.6 (1.0–7.0)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Sys-NL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74.1 (67.4–81.4)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33.7 (24.9–42.2)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13.4 (7.0–22.6)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24.3 (15.7–33.3)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2.3 (0.0–6.2)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IH-TG+NL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71.7 (64.7–78.7)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51.5 (43.7–59.6)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6.2 (2.0–11.1)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10.5 (5.3–16.0)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3.2 (0.7–6.5)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EH-NL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64.9 (60.5–69.5)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32.2 (27.4–37.1)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8.4 (5.5–11.4)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17.7 (13.5–22.5)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6.2 (3.9–9.2)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IH-TG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62.1 (58.6–66.1)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42.1 (37.9–46.5)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4.9 (3.0–7.0)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10.8 (8.1–13.9)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 (2.2–5.6)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IH-NL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57.9 (53.4–62.6)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40.5 (35.3–45.8)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3.1 (1.6–4.7)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10.0 (7.1–13.4)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3.9 (2.3–6.1)</w:t>
            </w:r>
          </w:p>
        </w:tc>
      </w:tr>
      <w:tr>
        <w:tc>
          <w:tcPr>
            <w:tcW w:type="dxa" w:w="14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人群平均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66.1 (63.8–68.9)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40.2 (37.8–42.9)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6.3 (5.2–7.7)</w:t>
            </w:r>
          </w:p>
        </w:tc>
        <w:tc>
          <w:tcPr>
            <w:tcW w:type="dxa" w:w="16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15.1 (13.3–17.0)</w:t>
            </w:r>
          </w:p>
        </w:tc>
        <w:tc>
          <w:tcPr>
            <w:tcW w:type="dxa" w:w="16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4.1 (3.2–5.2)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结果阐释：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进展后 12 个月全因死亡风险呈梯度：单纯肝内进展（IH-NL 57.9%、IH-TG 62.1%）最低；涉及肝外或系统性进展者普遍在 72–79%，Sys-TG 最高（79.1%）。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在所有模式中，</w:t>
      </w:r>
      <w:r>
        <w:rPr>
          <w:rFonts w:ascii="Arial" w:cs="Arial" w:eastAsia="Microsoft YaHei" w:hAnsi="Arial"/>
          <w:b/>
          <w:bCs/>
        </w:rPr>
        <w:t xml:space="preserve">肝内 HCC 死亡都是最主要死因</w:t>
      </w:r>
      <w:r>
        <w:rPr>
          <w:rFonts w:ascii="Arial" w:cs="Arial" w:eastAsia="Microsoft YaHei" w:hAnsi="Arial"/>
        </w:rPr>
        <w:t xml:space="preserve">（32–52%），说明即使出现肝外或系统性进展，肝内肿瘤控制仍决定多数患者的结局。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系统性 HCC 死亡集中在 Sys 类模式</w:t>
      </w:r>
      <w:r>
        <w:rPr>
          <w:rFonts w:ascii="Arial" w:cs="Arial" w:eastAsia="Microsoft YaHei" w:hAnsi="Arial"/>
        </w:rPr>
        <w:t xml:space="preserve">（24–26%，IH 类约 10%）；</w:t>
      </w:r>
      <w:r>
        <w:rPr>
          <w:rFonts w:ascii="Arial" w:cs="Arial" w:eastAsia="Microsoft YaHei" w:hAnsi="Arial"/>
          <w:b/>
          <w:bCs/>
        </w:rPr>
        <w:t xml:space="preserve">肝外 HCC 死亡</w:t>
      </w:r>
      <w:r>
        <w:rPr>
          <w:rFonts w:ascii="Arial" w:cs="Arial" w:eastAsia="Microsoft YaHei" w:hAnsi="Arial"/>
        </w:rPr>
        <w:t xml:space="preserve">在 Sys-NL（13.4%）和 EH-TG（10.1%）最高。也就是说，死亡方式与进展部位相对应。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Non-HCC 死亡总体很低（2–6%）；EH-TG+NL 的 12.4% 仅基于 3 个事件，CI 很宽（0–29.7%），不宜过度解读。</w:t>
      </w:r>
    </w:p>
    <w:p>
      <w:pPr>
        <w:pBdr>
          <w:left w:val="single" w:color="EDA100" w:sz="12" w:space="8"/>
        </w:pBdr>
        <w:spacing w:after="120" w:line="280"/>
        <w:ind w:left="200"/>
      </w:pPr>
      <w:r>
        <w:rPr>
          <w:rFonts w:ascii="Arial" w:cs="Arial" w:eastAsia="Microsoft YaHei" w:hAnsi="Arial"/>
          <w:color w:val="52514E"/>
          <w:sz w:val="19"/>
          <w:szCs w:val="19"/>
        </w:rPr>
        <w:t xml:space="preserve">解读注意：CI 下限为 0.0 的格子事件很少（≤ 3），部分 bootstrap 重抽样中没有事件。EH-TG+NL（n = 34）样本小，CI 宽。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3.2 A2 ARD：与人群标准化平均的绝对风险差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分析手段：</w:t>
      </w:r>
      <w:r>
        <w:rPr>
          <w:rFonts w:ascii="Arial" w:cs="Arial" w:eastAsia="Microsoft YaHei" w:hAnsi="Arial"/>
        </w:rPr>
        <w:t xml:space="preserve">人群标准化平均 F̄_·j = Σ_k w_k F̄_kj，其中 w_k 为各模式在进展人群中的实际占比；ARD_kj = F̄_kj − F̄_·j。在同一次 bootstrap 中计算 CI；框线标出 95% CI 不含 0 的格子。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分析目的：</w:t>
      </w:r>
      <w:r>
        <w:rPr>
          <w:rFonts w:ascii="Arial" w:cs="Arial" w:eastAsia="Microsoft YaHei" w:hAnsi="Arial"/>
        </w:rPr>
        <w:t xml:space="preserve">回答“与一个‘平均’的进展患者相比，模式 k 在 12 个月内多（或少）死了几个百分点”。它不需要选择参照组，单位为百分点，便于临床沟通（可换算为每 100 例多/少死亡几人）。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152900"/>
            <wp:effectExtent t="0" r="0" b="0" l="0"/>
            <wp:docPr id="1" name="Fig4.4A2_ARD12_vs_population_average.png" descr="图 A2  12 个月 ARD（百分点，95% bootstrap CI；框线 = CI 不含 0）" title="图 A2  12 个月 ARD（百分点，95% bootstrap CI；框线 = CI 不含 0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i/>
          <w:iCs/>
          <w:color w:val="52514E"/>
          <w:sz w:val="18"/>
          <w:szCs w:val="18"/>
        </w:rPr>
        <w:t xml:space="preserve">图 A2  12 个月 ARD（百分点，95% bootstrap CI；框线 = CI 不含 0）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主要结果与阐释：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全因死亡</w:t>
      </w:r>
      <w:r>
        <w:rPr>
          <w:rFonts w:ascii="Arial" w:cs="Arial" w:eastAsia="Microsoft YaHei" w:hAnsi="Arial"/>
        </w:rPr>
        <w:t xml:space="preserve">：IH-NL −8.2（−12.1 至 −4.6）、IH-TG −4.1（−7.1 至 −1.0）显著低于平均；Sys-TG +13.0（4.2–21.3）、EH-TG +8.8（2.1–14.9）、Sys-TG+NL +8.2（2.5–13.9）、Sys-NL +7.9（1.5–14.4）显著高于平均。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肝内 HCC 死亡</w:t>
      </w:r>
      <w:r>
        <w:rPr>
          <w:rFonts w:ascii="Arial" w:cs="Arial" w:eastAsia="Microsoft YaHei" w:hAnsi="Arial"/>
        </w:rPr>
        <w:t xml:space="preserve">：IH-TG+NL +11.3（3.3–19.2）显著升高，提示肝内增大与新发并存是肝内致死的高危表型；EH-NL −8.0（−12.2 至 −3.6）显著降低。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系统性 HCC 死亡</w:t>
      </w:r>
      <w:r>
        <w:rPr>
          <w:rFonts w:ascii="Arial" w:cs="Arial" w:eastAsia="Microsoft YaHei" w:hAnsi="Arial"/>
        </w:rPr>
        <w:t xml:space="preserve">：三种 Sys 模式均升高约 9–11 个百分点（Sys-TG +10.3、Sys-NL +9.2、Sys-TG+NL +10.5，CI 均不含 0）；IH-TG、IH-NL 降低 4–5 个百分点。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肝外 HCC 死亡</w:t>
      </w:r>
      <w:r>
        <w:rPr>
          <w:rFonts w:ascii="Arial" w:cs="Arial" w:eastAsia="Microsoft YaHei" w:hAnsi="Arial"/>
        </w:rPr>
        <w:t xml:space="preserve">：Sys-NL +7.1（0.9–15.9）升高，IH-NL −3.2（−5.0 至 −1.8）降低。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6 个月和 24 个月 ARD 见补充图 figS_ARD6、figS_ARD24，方向一致。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3.3 A3 特定时间点的死因构成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分析手段：</w:t>
      </w:r>
      <w:r>
        <w:rPr>
          <w:rFonts w:ascii="Arial" w:cs="Arial" w:eastAsia="Microsoft YaHei" w:hAnsi="Arial"/>
        </w:rPr>
        <w:t xml:space="preserve">Q_kj = F̄_kj / F̄_k,全因，即在模式 k 的全部死亡中，死因 j 所占比例（每种模式内各死因之和为 100%）。分别在 6、12、24 个月计算。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分析目的：</w:t>
      </w:r>
      <w:r>
        <w:rPr>
          <w:rFonts w:ascii="Arial" w:cs="Arial" w:eastAsia="Microsoft YaHei" w:hAnsi="Arial"/>
        </w:rPr>
        <w:t xml:space="preserve">回答“这类患者死了，主要是死于什么”。与 A1 互补：A1 看“死得多不多”，A3 看“怎么死的”。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048000"/>
            <wp:effectExtent t="0" r="0" b="0" l="0"/>
            <wp:docPr id="1" name="Fig4.4A3_cause_composition_6_12_24m.png" descr="图 A3  6、12、24 个月死因构成（%）" title="图 A3  6、12、24 个月死因构成（%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i/>
          <w:iCs/>
          <w:color w:val="52514E"/>
          <w:sz w:val="18"/>
          <w:szCs w:val="18"/>
        </w:rPr>
        <w:t xml:space="preserve">图 A3  6、12、24 个月死因构成（%）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主要结果与阐释：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12 个月时，IH 类模式中肝内 HCC 死亡占 68–72%，人群平均为 60.8%。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Sys 类模式中系统性 HCC 死亡约占 1/3（32–34%，人群平均 22.8%）；Sys-NL 的肝外 HCC 死亡占 18%（平均 9.6%）。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EH-NL 的死因最为分散：肝内 50%、系统性 27%、肝外 13%、Non-HCC 10%。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构成随时间基本稳定：从 6 个月到 24 个月，各模式肝内死亡占比下降约 6–8 个百分点，肝外和系统性死亡占比略升，提示较晚的死亡更多来自肝外或全身原因。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3.4 A4 CIF-based PMR 富集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分析手段：</w:t>
      </w:r>
      <w:r>
        <w:rPr>
          <w:rFonts w:ascii="Arial" w:cs="Arial" w:eastAsia="Microsoft YaHei" w:hAnsi="Arial"/>
        </w:rPr>
        <w:t xml:space="preserve">PMR_kj = Q_kj / Q_·j，其中 Q_·j = F̄_·j / F̄_·,全因 为全人群的死因构成。PMR &gt; 1 表示该死因在模式 k 的死亡中“富集”。95% CI 为 bootstrap 百分位区间，在对数尺度作图。同时报告来自 Lunn–McNeil 模型的后续检验（加权效应编码，Wald df = 2，Holm 校正）。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分析目的：</w:t>
      </w:r>
      <w:r>
        <w:rPr>
          <w:rFonts w:ascii="Arial" w:cs="Arial" w:eastAsia="Microsoft YaHei" w:hAnsi="Arial"/>
        </w:rPr>
        <w:t xml:space="preserve">以统一尺度比较“某种死因在某种模式中是否不成比例地多”，是 B2 异质性检验的描述性对应。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048000"/>
            <wp:effectExtent t="0" r="0" b="0" l="0"/>
            <wp:docPr id="1" name="Fig4.4A4_PMR12_enrichment.png" descr="图 A4  12 个月 PMR（95% bootstrap CI，log 尺度）；P[Holm] 为该模式效应在三种 HCC 死因间是否相等的检验" title="图 A4  12 个月 PMR（95% bootstrap CI，log 尺度）；P[Holm] 为该模式效应在三种 HCC 死因间是否相等的检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i/>
          <w:iCs/>
          <w:color w:val="52514E"/>
          <w:sz w:val="18"/>
          <w:szCs w:val="18"/>
        </w:rPr>
        <w:t xml:space="preserve">图 A4  12 个月 PMR（95% bootstrap CI，log 尺度）；P[Holm] 为该模式效应在三种 HCC 死因间是否相等的检验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主要结果与阐释：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IH 类模式富集肝内 HCC 死亡</w:t>
      </w:r>
      <w:r>
        <w:rPr>
          <w:rFonts w:ascii="Arial" w:cs="Arial" w:eastAsia="Microsoft YaHei" w:hAnsi="Arial"/>
        </w:rPr>
        <w:t xml:space="preserve">：IH-TG 1.12（1.04–1.20）、IH-NL 1.15（1.06–1.24）、IH-TG+NL 1.18（1.03–1.33）；同时系统性死亡占比偏低（PMR 0.65–0.77，CI 均 &lt; 1）。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Sys-TG+NL 富集系统性 HCC 死亡</w:t>
      </w:r>
      <w:r>
        <w:rPr>
          <w:rFonts w:ascii="Arial" w:cs="Arial" w:eastAsia="Microsoft YaHei" w:hAnsi="Arial"/>
        </w:rPr>
        <w:t xml:space="preserve">：1.51（1.19–1.84），肝内死亡占比偏低，为 0.83（0.70–0.96）。Sys-TG 的系统性死亡 PMR 为 1.41（0.92–1.99），方向一致，但 CI 跨过 1。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Sys-NL 富集肝外 HCC 死亡</w:t>
      </w:r>
      <w:r>
        <w:rPr>
          <w:rFonts w:ascii="Arial" w:cs="Arial" w:eastAsia="Microsoft YaHei" w:hAnsi="Arial"/>
        </w:rPr>
        <w:t xml:space="preserve">：1.89（1.03–2.95），肝内死亡占比偏低，为 0.75（0.54–0.94）。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EH-NL</w:t>
      </w:r>
      <w:r>
        <w:rPr>
          <w:rFonts w:ascii="Arial" w:cs="Arial" w:eastAsia="Microsoft YaHei" w:hAnsi="Arial"/>
        </w:rPr>
        <w:t xml:space="preserve"> 肝内死亡占比偏低，为 0.82（0.71–0.92）；</w:t>
      </w:r>
      <w:r>
        <w:rPr>
          <w:rFonts w:ascii="Arial" w:cs="Arial" w:eastAsia="Microsoft YaHei" w:hAnsi="Arial"/>
          <w:b/>
          <w:bCs/>
        </w:rPr>
        <w:t xml:space="preserve">IH-NL</w:t>
      </w:r>
      <w:r>
        <w:rPr>
          <w:rFonts w:ascii="Arial" w:cs="Arial" w:eastAsia="Microsoft YaHei" w:hAnsi="Arial"/>
        </w:rPr>
        <w:t xml:space="preserve"> 肝外死亡占比偏低，为 0.56（0.31–0.80）。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Holm 校正后，IH-NL（P = 0.020）、EH-NL（0.011）、Sys-NL（0.011）、Sys-TG+NL（0.005）的效应在三种 HCC 死因间显著不同，与上述富集方向一致。</w:t>
      </w:r>
    </w:p>
    <w:p>
      <w:pPr>
        <w:pBdr>
          <w:left w:val="single" w:color="EDA100" w:sz="12" w:space="8"/>
        </w:pBdr>
        <w:spacing w:after="120" w:line="280"/>
        <w:ind w:left="200"/>
      </w:pPr>
      <w:r>
        <w:rPr>
          <w:rFonts w:ascii="Arial" w:cs="Arial" w:eastAsia="Microsoft YaHei" w:hAnsi="Arial"/>
          <w:color w:val="52514E"/>
          <w:sz w:val="19"/>
          <w:szCs w:val="19"/>
        </w:rPr>
        <w:t xml:space="preserve">PMR 是比例指标，不是风险指标：PMR 高不代表该死因风险高（例如 IH-NL 的肝内死亡 PMR &gt; 1，但其肝内死亡 CIF 并不高于平均）。同一模式内各死因的 PMR 相互约束（加权和为 1），必须与 A1 一起解读。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YaHei" w:hAnsi="Arial"/>
        </w:rPr>
        <w:t xml:space="preserve">4. 4.4B 相对风险层面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4.4B 回答“与参照模式相比，各模式在各死因上的瞬时风险高多少”。按你的决定，参照组为 </w:t>
      </w:r>
      <w:r>
        <w:rPr>
          <w:rFonts w:ascii="Arial" w:cs="Arial" w:eastAsia="Microsoft YaHei" w:hAnsi="Arial"/>
          <w:b/>
          <w:bCs/>
        </w:rPr>
        <w:t xml:space="preserve">Sys-TG</w:t>
      </w:r>
      <w:r>
        <w:rPr>
          <w:rFonts w:ascii="Arial" w:cs="Arial" w:eastAsia="Microsoft YaHei" w:hAnsi="Arial"/>
        </w:rPr>
        <w:t xml:space="preserve">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4.1 B1 csHR 矩阵（参照 Sys-TG）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分析手段：</w:t>
      </w:r>
      <w:r>
        <w:rPr>
          <w:rFonts w:ascii="Arial" w:cs="Arial" w:eastAsia="Microsoft YaHei" w:hAnsi="Arial"/>
        </w:rPr>
        <w:t xml:space="preserve">全因死亡：Cox 模型；特异性死因：cause-specific Cox 模型（csHR，与 A1 同一模型设定，Efron 处理结点），均调整 TTP 与基线协变量并以 strata(Group) 分层。每列底部报告 8 个模式项的整体 Wald 检验（df = 8），该 P 值与参照组的选择无关。预先规定：格子事件数 &lt; 3 或参照格子事件数 &lt; 3 时标注 NE。单个 HR 为探索性结果，xlsx 中给出 BH-FDR q 值。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分析目的：</w:t>
      </w:r>
      <w:r>
        <w:rPr>
          <w:rFonts w:ascii="Arial" w:cs="Arial" w:eastAsia="Microsoft YaHei" w:hAnsi="Arial"/>
        </w:rPr>
        <w:t xml:space="preserve">csHR 反映“在仍存活的患者中，该死因的瞬时发生率”，属于病因学关联，适合回答“某种进展是否加速某种死亡过程”。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238625"/>
            <wp:effectExtent t="0" r="0" b="0" l="0"/>
            <wp:docPr id="1" name="Fig4.4B1_csHR_matrix_refSysTG.png" descr="图 B1  HR / csHR 矩阵（参照 Sys-TG；* P &lt; 0.05，** P &lt; 0.01，*** P &lt; 0.001）" title="图 B1  HR / csHR 矩阵（参照 Sys-TG；* P &lt; 0.05，** P &lt; 0.01，*** P &lt; 0.00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i/>
          <w:iCs/>
          <w:color w:val="52514E"/>
          <w:sz w:val="18"/>
          <w:szCs w:val="18"/>
        </w:rPr>
        <w:t xml:space="preserve">图 B1  HR / csHR 矩阵（参照 Sys-TG；* P &lt; 0.05，</w:t>
      </w:r>
      <w:r>
        <w:rPr>
          <w:rFonts w:ascii="Arial" w:cs="Arial" w:eastAsia="Microsoft YaHei" w:hAnsi="Arial"/>
          <w:b/>
          <w:bCs/>
          <w:i/>
          <w:iCs/>
          <w:color w:val="52514E"/>
          <w:sz w:val="18"/>
          <w:szCs w:val="18"/>
        </w:rPr>
        <w:t xml:space="preserve"> P &lt; 0.01，</w:t>
      </w:r>
      <w:r>
        <w:rPr>
          <w:rFonts w:ascii="Arial" w:cs="Arial" w:eastAsia="Microsoft YaHei" w:hAnsi="Arial"/>
          <w:i/>
          <w:iCs/>
          <w:color w:val="52514E"/>
          <w:sz w:val="18"/>
          <w:szCs w:val="18"/>
        </w:rPr>
        <w:t xml:space="preserve">* P &lt; 0.001）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主要结果：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模式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全因 HR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肝内 csHR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肝外 csHR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系统性 csHR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IH-TG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0.54 (0.40–0.72)***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0.63 (0.43–0.92)*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0.75 (0.25–2.24)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0.28 (0.16–0.47)***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IH-NL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0.46 (0.34–0.62)***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0.57 (0.38–0.84)**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0.45 (0.14–1.40)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0.24 (0.14–0.42)***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IH-TG+NL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0.73 (0.52–1.02)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0.94 (0.61–1.46)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1.14 (0.32–3.99)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0.34 (0.16–0.68)**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EH-TG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0.84 (0.60–1.19)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0.90 (0.56–1.43)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2.01 (0.64–6.26)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0.48 (0.25–0.92)*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EH-NL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0.58 (0.43–0.78)***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0.48 (0.31–0.72)***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1.35 (0.46–3.95)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0.47 (0.28–0.78)**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EH-TG+NL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0.79 (0.48–1.29)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0.65 (0.31–1.33)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1.84 (0.39–8.67)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0.56 (0.23–1.36)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Sys-TG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参照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参照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参照（4 例事件）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参照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Sys-NL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0.78 (0.55–1.12)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0.59 (0.35–0.98)*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2.63 (0.83–8.33)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0.79 (0.43–1.45)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Sys-TG+NL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0.79 (0.58–1.07)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0.68 (0.44–1.03)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1.43 (0.47–4.35)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0.85 (0.50–1.44)</w:t>
            </w:r>
          </w:p>
        </w:tc>
      </w:tr>
      <w:tr>
        <w:tc>
          <w:tcPr>
            <w:tcW w:type="dxa" w:w="1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整体 Wald P (df = 8)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&lt; 0.001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&lt; 0.001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&lt; 0.001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&lt; 0.001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结果阐释：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全因死亡</w:t>
      </w:r>
      <w:r>
        <w:rPr>
          <w:rFonts w:ascii="Arial" w:cs="Arial" w:eastAsia="Microsoft YaHei" w:hAnsi="Arial"/>
        </w:rPr>
        <w:t xml:space="preserve">：单纯肝内进展（IH-TG、IH-NL）和 EH-NL 的进展后死亡风险比 Sys-TG 低 42–54%；其余模式的点估计为 0.73–0.84，与 Sys-TG 没有显著差异。说明 Sys-TG 属于高危组，但与其他涉及肝外或系统性进展的模式风险相近。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系统性 HCC 死亡</w:t>
      </w:r>
      <w:r>
        <w:rPr>
          <w:rFonts w:ascii="Arial" w:cs="Arial" w:eastAsia="Microsoft YaHei" w:hAnsi="Arial"/>
        </w:rPr>
        <w:t xml:space="preserve">是区分度最大的死因：所有 IH 类模式及 EH-TG、EH-NL 的 csHR 为 0.24–0.48，而 Sys-NL（0.79）、Sys-TG+NL（0.85）与 Sys-TG 没有差异。也就是说，三种系统性进展的系统性致死风险相近。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肝内 HCC 死亡</w:t>
      </w:r>
      <w:r>
        <w:rPr>
          <w:rFonts w:ascii="Arial" w:cs="Arial" w:eastAsia="Microsoft YaHei" w:hAnsi="Arial"/>
        </w:rPr>
        <w:t xml:space="preserve">：IH-TG（0.63）、IH-NL（0.57）、EH-NL（0.48）、Sys-NL（0.59）显著低于 Sys-TG，说明 Sys-TG 患者的肝内致死风险也处于高位（与 A2 中 Sys-TG 肝内 ARD +6.4 方向一致）。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肝外 HCC 死亡</w:t>
      </w:r>
      <w:r>
        <w:rPr>
          <w:rFonts w:ascii="Arial" w:cs="Arial" w:eastAsia="Microsoft YaHei" w:hAnsi="Arial"/>
        </w:rPr>
        <w:t xml:space="preserve">：与 Sys-TG 相比均无显著差异。主要原因是 Sys-TG 只有 4 例肝外死亡，参照格子稀疏，所有 CI 都很宽；但该列整体 Wald P &lt; 0.001，仍提示模式间存在差异。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Non-HCC 死亡</w:t>
      </w:r>
      <w:r>
        <w:rPr>
          <w:rFonts w:ascii="Arial" w:cs="Arial" w:eastAsia="Microsoft YaHei" w:hAnsi="Arial"/>
        </w:rPr>
        <w:t xml:space="preserve">：Sys-TG 只有 1 例 Non-HCC 死亡，按预设规则整列标为 NE；整体 Wald P = 0.40，模式与 Non-HCC 死亡无关，符合预期（相当于阴性对照）。</w:t>
      </w:r>
    </w:p>
    <w:p>
      <w:pPr>
        <w:pBdr>
          <w:left w:val="single" w:color="EDA100" w:sz="12" w:space="8"/>
        </w:pBdr>
        <w:spacing w:after="120" w:line="280"/>
        <w:ind w:left="200"/>
      </w:pPr>
      <w:r>
        <w:rPr>
          <w:rFonts w:ascii="Arial" w:cs="Arial" w:eastAsia="Microsoft YaHei" w:hAnsi="Arial"/>
          <w:color w:val="52514E"/>
          <w:sz w:val="19"/>
          <w:szCs w:val="19"/>
        </w:rPr>
        <w:t xml:space="preserve">关于参照组：Sys-TG（n = 74，死亡 58）作为参照时，肝外和 Non-HCC 两列的参照格子事件只有 4 例和 1 例，相对比较的信息有限。建议正文同时报告与参照无关的整体 Wald P 和 Lunn–McNeil P；如审稿人要求，可在补充材料中给出 IH-NL 参照的版本（在脚本中设置 REF_HR=IH-NL 后重跑即可）。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4.2 B1 sHR 矩阵（Fine–Gray，参照 Sys-TG）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分析手段：</w:t>
      </w:r>
      <w:r>
        <w:rPr>
          <w:rFonts w:ascii="Arial" w:cs="Arial" w:eastAsia="Microsoft YaHei" w:hAnsi="Arial"/>
        </w:rPr>
        <w:t xml:space="preserve">用 survival::finegray 构建加权扩展数据（按治疗组分别估计删失分布），再以 coxph(Surv(fgstart, fgstop, fgstatus) ~ 模式 + 协变量 + strata(Group), weights = fgwt) 拟合，稳健方差。cmprsk::crr 不支持分层，故不使用。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分析目的：</w:t>
      </w:r>
      <w:r>
        <w:rPr>
          <w:rFonts w:ascii="Arial" w:cs="Arial" w:eastAsia="Microsoft YaHei" w:hAnsi="Arial"/>
        </w:rPr>
        <w:t xml:space="preserve">sHR 直接对应累积发生率（CIF）的差异，反映“预后/预测”意义：某模式的患者最终死于该原因的概率是否更高。它同时受该死因和竞争死因的影响，因此作为 csHR 的补充。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648200"/>
            <wp:effectExtent t="0" r="0" b="0" l="0"/>
            <wp:docPr id="1" name="Fig4.4B1_sHR_matrix_refSysTG.png" descr="图 B1-sHR  Fine–Gray sHR 矩阵（参照 Sys-TG）" title="图 B1-sHR  Fine–Gray sHR 矩阵（参照 Sys-TG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i/>
          <w:iCs/>
          <w:color w:val="52514E"/>
          <w:sz w:val="18"/>
          <w:szCs w:val="18"/>
        </w:rPr>
        <w:t xml:space="preserve">图 B1-sHR  Fine–Gray sHR 矩阵（参照 Sys-TG）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主要结果与阐释：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系统性 HCC 死亡</w:t>
      </w:r>
      <w:r>
        <w:rPr>
          <w:rFonts w:ascii="Arial" w:cs="Arial" w:eastAsia="Microsoft YaHei" w:hAnsi="Arial"/>
        </w:rPr>
        <w:t xml:space="preserve">：IH-TG 0.41（0.24–0.72）、IH-NL 0.36（0.20–0.64）、IH-TG+NL 0.40（0.19–0.82）、EH-TG 0.49（0.25–0.96）显著低于 Sys-TG，与 csHR 一致；Sys-NL（0.96）、Sys-TG+NL（1.00）与 Sys-TG 几乎相同。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肝内 HCC 死亡</w:t>
      </w:r>
      <w:r>
        <w:rPr>
          <w:rFonts w:ascii="Arial" w:cs="Arial" w:eastAsia="Microsoft YaHei" w:hAnsi="Arial"/>
        </w:rPr>
        <w:t xml:space="preserve">：只有 EH-NL 显著低于 Sys-TG（0.59，0.38–0.92），其余模式的 sHR 为 0.62–1.25，均不显著。与 csHR 对比：IH-TG、IH-NL 的肝内 csHR 显著低于 Sys-TG，但 sHR 接近 1。原因是 Sys-TG 患者同时有很高的系统性死亡竞争风险，所以最终死于肝内原因的累积概率与 IH 类模式相近。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整体 Wald 检验：肝内 P = 0.003，肝外 P = 0.003，系统性 P &lt; 0.001，Non-HCC P = 0.26。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4.3 B2 Lunn–McNeil 跨死因异质性检验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分析手段：</w:t>
      </w:r>
      <w:r>
        <w:rPr>
          <w:rFonts w:ascii="Arial" w:cs="Arial" w:eastAsia="Microsoft YaHei" w:hAnsi="Arial"/>
        </w:rPr>
        <w:t xml:space="preserve">仅纳入 3 种 HCC 相关死因（Non-HCC 和无法判定在扩展数据中作为删失）。每位患者复制 3 行（每个死因一行），event = (死因 = 该行死因)。m0：模式效应在三种死因间共用，协变量与死因交互，strata(死因 × 治疗组)；m1：模式 × 死因（每种死因各有一套模式效应）。似然比检验 m1 vs m0，df = 8 × 2 = 16。另报告降维版本：部位 × 死因（df = 4）和形式 × 死因（df = 4）。后续检验：对每种模式，以加权效应编码（与按模式占比加权的平均模式比较）检验其效应在三种死因间是否相等（Wald df = 2），9 个检验 Holm 校正。验证：m1 的系数与分别拟合的 cs-Cox 完全一致（差异 &lt; 10⁻¹⁴）。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分析目的：</w:t>
      </w:r>
      <w:r>
        <w:rPr>
          <w:rFonts w:ascii="Arial" w:cs="Arial" w:eastAsia="Microsoft YaHei" w:hAnsi="Arial"/>
        </w:rPr>
        <w:t xml:space="preserve">B1 每一列分别检验“模式是否与该死因有关”，但无法回答“模式的作用在不同死因间是否不同”。Lunn–McNeil 正式检验后者，即进展模式是否决定“死于哪种原因”，而不仅是“死得快慢”。结果与参照组选择无关。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9525"/>
            <wp:effectExtent t="0" r="0" b="0" l="0"/>
            <wp:docPr id="1" name="Fig4.4B2_LunnMcNeil_tests.png" descr="图 B2  Lunn–McNeil 异质性检验及加权效应编码后续检验" title="图 B2  Lunn–McNeil 异质性检验及加权效应编码后续检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i/>
          <w:iCs/>
          <w:color w:val="52514E"/>
          <w:sz w:val="18"/>
          <w:szCs w:val="18"/>
        </w:rPr>
        <w:t xml:space="preserve">图 B2  Lunn–McNeil 异质性检验及加权效应编码后续检验</w:t>
      </w:r>
    </w:p>
    <w:p>
      <w:pPr>
        <w:spacing w:after="100" w:line="300"/>
      </w:pPr>
      <w:r>
        <w:rPr>
          <w:rFonts w:ascii="Arial" w:cs="Arial" w:eastAsia="Microsoft YaHei" w:hAnsi="Arial"/>
          <w:b/>
          <w:bCs/>
          <w:color w:val="1C5CAB"/>
        </w:rPr>
        <w:t xml:space="preserve">主要结果与阐释：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模式 × 死因</w:t>
      </w:r>
      <w:r>
        <w:rPr>
          <w:rFonts w:ascii="Arial" w:cs="Arial" w:eastAsia="Microsoft YaHei" w:hAnsi="Arial"/>
        </w:rPr>
        <w:t xml:space="preserve">：χ²(16) = 60.5，P &lt; 0.001。进展模式对肝内、肝外、系统性 HCC 死亡的作用显著不同。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  <w:b/>
          <w:bCs/>
        </w:rPr>
        <w:t xml:space="preserve">部位 × 死因</w:t>
      </w:r>
      <w:r>
        <w:rPr>
          <w:rFonts w:ascii="Arial" w:cs="Arial" w:eastAsia="Microsoft YaHei" w:hAnsi="Arial"/>
        </w:rPr>
        <w:t xml:space="preserve">：χ²(4) = 48.6，P &lt; 0.001；</w:t>
      </w:r>
      <w:r>
        <w:rPr>
          <w:rFonts w:ascii="Arial" w:cs="Arial" w:eastAsia="Microsoft YaHei" w:hAnsi="Arial"/>
          <w:b/>
          <w:bCs/>
        </w:rPr>
        <w:t xml:space="preserve">形式 × 死因</w:t>
      </w:r>
      <w:r>
        <w:rPr>
          <w:rFonts w:ascii="Arial" w:cs="Arial" w:eastAsia="Microsoft YaHei" w:hAnsi="Arial"/>
        </w:rPr>
        <w:t xml:space="preserve">：χ²(4) = 7.4，P = 0.12。异质性主要来自进展部位（IH / EH / Sys）；肿瘤增大还是新发病灶（TG / NL）对死因去向的影响不大。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后续检验（效应编码 csHR，与加权平均模式比较）：Sys-TG+NL 的系统性死亡为 2.17（1.63–2.88），肝内死亡为 1.07，Holm P = 0.005；Sys-NL 的肝外死亡为 2.72（1.55–4.76）、系统性死亡 2.00，肝内 0.93，Holm P = 0.011；EH-NL 的肝内死亡为 0.75（0.62–0.91），Holm P = 0.011；IH-NL 的肝外死亡为 0.46（0.30–0.72），Holm P = 0.020。这些模式与 A4 的 PMR 富集方向一一对应。Sys-TG 的系统性（2.54）和肝内（1.58）效应都升高，所以跨死因差异不显著（Holm P = 0.53）：Sys-TG 是“全面高危”，而非只集中在某一种死因。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YaHei" w:hAnsi="Arial"/>
        </w:rPr>
        <w:t xml:space="preserve">5. 验证与敏感性分析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5.1 与原 HR 矩阵的验证（参照 IH-TG）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目的：确认数据合并、模式归类和协变量设置与原流程一致。原矩阵数值：Sys-TG 全因 HR 1.96（1.48–2.61），Sys-TG 系统性死亡 csHR 4.11，IH-NL 全因 HR 0.76。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8"/>
        <w:gridCol w:w="2000"/>
        <w:gridCol w:w="2000"/>
        <w:gridCol w:w="1800"/>
      </w:tblGrid>
      <w:tr>
        <w:trPr>
          <w:tblHeader/>
        </w:trPr>
        <w:tc>
          <w:tcPr>
            <w:tcW w:type="dxa" w:w="3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设定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Sys-TG 全因 HR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Sys-TG 系统性 csHR</w:t>
            </w:r>
          </w:p>
        </w:tc>
        <w:tc>
          <w:tcPr>
            <w:tcW w:type="dxa" w:w="1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IH-NL 全因 HR</w:t>
            </w:r>
          </w:p>
        </w:tc>
      </w:tr>
      <w:tr>
        <w:tc>
          <w:tcPr>
            <w:tcW w:type="dxa" w:w="3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原矩阵（目标）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1.96 (1.48–2.61)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4.11</w:t>
            </w:r>
          </w:p>
        </w:tc>
        <w:tc>
          <w:tcPr>
            <w:tcW w:type="dxa" w:w="1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0.76</w:t>
            </w:r>
          </w:p>
        </w:tc>
      </w:tr>
      <w:tr>
        <w:tc>
          <w:tcPr>
            <w:tcW w:type="dxa" w:w="3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本次主模型（全协变量，含 TTP）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1.86 (1.40–2.48)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3.60 (2.12–6.12)</w:t>
            </w:r>
          </w:p>
        </w:tc>
        <w:tc>
          <w:tcPr>
            <w:tcW w:type="dxa" w:w="1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0.85 (0.71–1.02)</w:t>
            </w:r>
          </w:p>
        </w:tc>
      </w:tr>
      <w:tr>
        <w:tc>
          <w:tcPr>
            <w:tcW w:type="dxa" w:w="3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基线协变量，不含 TTP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1.93 (1.45–2.57)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3.79 (2.23–6.42)</w:t>
            </w:r>
          </w:p>
        </w:tc>
        <w:tc>
          <w:tcPr>
            <w:tcW w:type="dxa" w:w="1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0.76 (0.63–0.90)</w:t>
            </w:r>
          </w:p>
        </w:tc>
      </w:tr>
      <w:tr>
        <w:tc>
          <w:tcPr>
            <w:tcW w:type="dxa" w:w="38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未调整（仅 strata(Group)）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1.88 (1.42–2.50)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4.66 (2.78–7.80)</w:t>
            </w:r>
          </w:p>
        </w:tc>
        <w:tc>
          <w:tcPr>
            <w:tcW w:type="dxa" w:w="1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0.67 (0.56–0.80)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结论：模式人数与原图一致（如 Sys-TG 74 例、EH-TG+NL 34 例）；在不含 TTP 的设定下，三个关键数值与原矩阵很接近（1.93 vs 1.96；3.79 vs 4.11；0.76 vs 0.76），说明数据合并和模式归类正确。剩余差别来自协变量清单：原 IPTW 模型的变量列表未提供。本次主模型额外调整了 TTP；TTP 是强混杂因素，调整后各模式间的差异收窄。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5.2 比例风险假设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Schoenfeld 残差检验：模式项在全因（P &lt; 0.001）和肝内死亡模型（P &lt; 0.001）中违反 PH，在肝外（0.14）、系统性（0.34）、Non-HCC（0.81）模型中满足。因此全因和肝内两列的 HR 应理解为随访期内的平均效应；A1–A4 的固定时间点 CIF 对模式效应不依赖 PH 假设，建议作为主要的绝对风险结论。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5.3 敏感性分析汇总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738"/>
        <w:gridCol w:w="2200"/>
      </w:tblGrid>
      <w:tr>
        <w:trPr>
          <w:tblHeader/>
        </w:trPr>
        <w:tc>
          <w:tcPr>
            <w:tcW w:type="dxa" w:w="2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敏感性分析</w:t>
            </w:r>
          </w:p>
        </w:tc>
        <w:tc>
          <w:tcPr>
            <w:tcW w:type="dxa" w:w="4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结果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2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6、24 个月时间点</w:t>
            </w:r>
          </w:p>
        </w:tc>
        <w:tc>
          <w:tcPr>
            <w:tcW w:type="dxa" w:w="4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CIF、ARD、PMR 的方向与 12 个月一致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figS_CIF6/24、figS_ARD6/24、figS_PMR6/24</w:t>
            </w:r>
          </w:p>
        </w:tc>
      </w:tr>
      <w:tr>
        <w:tc>
          <w:tcPr>
            <w:tcW w:type="dxa" w:w="2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未调整 Aalen–Johansen CIF</w:t>
            </w:r>
          </w:p>
        </w:tc>
        <w:tc>
          <w:tcPr>
            <w:tcW w:type="dxa" w:w="4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个月全因死亡从 IH-NL 49.8% 到 Sys-TG 83.4%，梯度比调整后更陡，说明部分差异来自 TTP 和基线混杂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figS_AJ</w:t>
            </w:r>
          </w:p>
        </w:tc>
      </w:tr>
      <w:tr>
        <w:tc>
          <w:tcPr>
            <w:tcW w:type="dxa" w:w="2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Firth 惩罚 Cox（稀疏格子）</w:t>
            </w:r>
          </w:p>
        </w:tc>
        <w:tc>
          <w:tcPr>
            <w:tcW w:type="dxa" w:w="4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与常规估计一致，如全因 IH-NL 0.45（0.33–0.61）、系统性 IH-NL 0.24（0.14–0.43）；整体 Wald 检验结论不变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figS_firth</w:t>
            </w:r>
          </w:p>
        </w:tc>
      </w:tr>
      <w:tr>
        <w:tc>
          <w:tcPr>
            <w:tcW w:type="dxa" w:w="2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排除 8 例死因无法判定</w:t>
            </w:r>
          </w:p>
        </w:tc>
        <w:tc>
          <w:tcPr>
            <w:tcW w:type="dxa" w:w="4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全因 IH-NL 0.46（0.34–0.62），系统性 IH-NL 0.24（0.14–0.43），几乎不变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figS_undet</w:t>
            </w:r>
          </w:p>
        </w:tc>
      </w:tr>
      <w:tr>
        <w:tc>
          <w:tcPr>
            <w:tcW w:type="dxa" w:w="2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纳入 11 例删除标记病例</w:t>
            </w:r>
          </w:p>
        </w:tc>
        <w:tc>
          <w:tcPr>
            <w:tcW w:type="dxa" w:w="4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全因 IH-NL 0.47（0.34–0.63），系统性 IH-NL 0.24（0.14–0.42），几乎不变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figS_del</w:t>
            </w:r>
          </w:p>
        </w:tc>
      </w:tr>
      <w:tr>
        <w:tc>
          <w:tcPr>
            <w:tcW w:type="dxa" w:w="2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部位/模式 × 治疗组交互（全因）</w:t>
            </w:r>
          </w:p>
        </w:tc>
        <w:tc>
          <w:tcPr>
            <w:tcW w:type="dxa" w:w="4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部位 × 治疗组 χ²(4) = 7.2，P = 0.13；模式 × 治疗组 χ²(16) = 24.1，P = 0.087，支持合并分析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xlsx: Interaction_treatment</w:t>
            </w:r>
          </w:p>
        </w:tc>
      </w:tr>
      <w:tr>
        <w:tc>
          <w:tcPr>
            <w:tcW w:type="dxa" w:w="2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进展时状态调整</w:t>
            </w:r>
          </w:p>
        </w:tc>
        <w:tc>
          <w:tcPr>
            <w:tcW w:type="dxa" w:w="47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数据中没有进展时的 Child-Pugh、ECOG、AFP，无法执行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Microsoft YaHei" w:hAnsi="Arial"/>
        </w:rPr>
        <w:t xml:space="preserve">6. 综合解读与写作建议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6.1 核心结论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首次进展的</w:t>
      </w:r>
      <w:r>
        <w:rPr>
          <w:rFonts w:ascii="Arial" w:cs="Arial" w:eastAsia="Microsoft YaHei" w:hAnsi="Arial"/>
          <w:b/>
          <w:bCs/>
        </w:rPr>
        <w:t xml:space="preserve">部位</w:t>
      </w:r>
      <w:r>
        <w:rPr>
          <w:rFonts w:ascii="Arial" w:cs="Arial" w:eastAsia="Microsoft YaHei" w:hAnsi="Arial"/>
        </w:rPr>
        <w:t xml:space="preserve">决定进展后的死亡</w:t>
      </w:r>
      <w:r>
        <w:rPr>
          <w:rFonts w:ascii="Arial" w:cs="Arial" w:eastAsia="Microsoft YaHei" w:hAnsi="Arial"/>
          <w:b/>
          <w:bCs/>
        </w:rPr>
        <w:t xml:space="preserve">去向</w:t>
      </w:r>
      <w:r>
        <w:rPr>
          <w:rFonts w:ascii="Arial" w:cs="Arial" w:eastAsia="Microsoft YaHei" w:hAnsi="Arial"/>
        </w:rPr>
        <w:t xml:space="preserve">：肝内进展者主要死于肝内 HCC，系统性进展者系统性 HCC 死亡显著增多，Sys-NL 富集肝外 HCC 死亡。Lunn–McNeil 部位 × 死因 P &lt; 0.001，而形式 × 死因 P = 0.12。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即使在系统性进展患者中，肝内 HCC 死亡仍占约一半，提示进展后的肝内局部控制仍有价值。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Sys-TG、Sys-NL、Sys-TG+NL 三种系统性模式的全因和系统性死亡风险相近，可视为同一高危层级，其中 Sys-TG 的肝内致死风险同样较高；单纯肝内进展（尤其 IH-NL）预后最好。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6.2 结果段落示例（英文，可直接修改使用）</w:t>
      </w:r>
    </w:p>
    <w:p>
      <w:pPr>
        <w:spacing w:after="120" w:line="300"/>
      </w:pPr>
      <w:r>
        <w:rPr>
          <w:rFonts w:ascii="Arial" w:cs="Arial" w:eastAsia="Microsoft YaHei" w:hAnsi="Arial"/>
          <w:sz w:val="20"/>
          <w:szCs w:val="20"/>
        </w:rPr>
        <w:t xml:space="preserve">Among 1786 patients with first radiological progression (1186 post-progression deaths; median post-progression follow-up 18.7 months), the adjusted 12-month cumulative incidence of death ranged from 57.9% (IH-NL) to 79.1% (Sys-TG), against a population-standardised average of 66.1%. Intrahepatic HCC-related death was the leading cause in every pattern, whereas systemic HCC-related death clustered in systemic patterns (12-month CIF 24–26% vs about 10% in intrahepatic patterns; ARD +9 to +11 percentage points). Compared with Sys-TG, intrahepatic-only progression carried a lower hazard of all-cause death (IH-NL HR 0.46, 95% CI 0.34–0.62) and of systemic HCC-related death (csHR 0.24, 0.14–0.42), whereas Sys-NL and Sys-TG+NL did not differ from Sys-TG. Pattern effects differed across causes of death (Lunn–McNeil χ²(16) = 60.5, P &lt; 0.001), driven by the site (χ²(4) = 48.6, P &lt; 0.001) rather than the form of progression (χ²(4) = 7.4, P = 0.12).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6.3 局限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部分模式样本小（EH-TG+NL n = 34，Sys-TG n = 74），对应格子的事件少，CI 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全因与肝内死亡模型的模式项违反 PH，HR 为平均效应。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94 例 PPOS_status 与 Death_status_0930 不一致，需临床数据团队核实。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Microsoft YaHei" w:hAnsi="Arial"/>
        </w:rPr>
        <w:t xml:space="preserve">缺少进展时的肝功能、体能状态和后线治疗信息，无法评估中介作用。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YaHei" w:hAnsi="Arial"/>
        </w:rPr>
        <w:t xml:space="preserve">7. R 代码说明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全部结果由一个脚本 R/fig4_4_analysis.R 生成（UTF-8 编码）。运行：在 Fig4.4 目录下，将 raw.xlsx、baseline.xlsx、cod.xlsx 放入 data/，执行 Rscript R/fig4_4_analysis.R；或在 R 中 source("R/fig4_4_analysis.R", encoding = "UTF-8")。默认 B = 1000，4 核约 3 分钟。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脚本章节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产出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§1 Load data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读取三表，逐行核对编号/Group/patient_sn/基线日期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QC_linkage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§2 Cohort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队列筛选、9 模式归类（map_pattern：部位 × 形式）、结局编码、协变量处理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Cohort_flow、Events_total、Pattern_classification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§3 CIF engine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分层 cs-Cox + Breslow 基线 + CIF 合成 + G-computation；与 riskRegression 自检；1000 次 bootstrap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A1–A4 全部估计值与 CI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§4 Aalen–Johansen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未调整 CIF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CIF_unadjusted_AJ、figS_AJ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§5 hr_matrix()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全因 Cox、cs-Cox、Fine–Gray、Firth；整体 Wald；NE 规则；BH-FDR；Schoenfeld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B1 矩阵、Overall_Wald、PH_Schoenfeld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§6 Lunn–McNeil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扩展数据、m0/m1/部位/形式模型、LRT、加权效应编码后续检验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B2、LunnMcNeil、LM_followup_effectcoded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§7 Validation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以 IH-TG 为参照复现原矩阵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Validation_refIHTG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§8 Sensitivity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排除无法判定、纳入删除标记、治疗组交互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Sens_*、Interaction_treatment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§9 Figures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所有图（ggplot2 + patchwork）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output/*.pdf、output/png/</w:t>
            </w:r>
          </w:p>
        </w:tc>
      </w:tr>
      <w:tr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§10 Tables</w:t>
            </w:r>
          </w:p>
        </w:tc>
        <w:tc>
          <w:tcPr>
            <w:tcW w:type="dxa" w:w="46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xlsx 与汇总 PDF 报告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Fig4.4_Tables.xlsx、Fig4.4_Full_Report.pdf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可调参数（环境变量）：N_BOOT（bootstrap 次数）、N_CORES（并行核数，Windows 自动为 1）、REF_HR（4.4B 参照组，默认 Sys-TG）、DATA_DIR、OUT_DIR。所用 R 包：survival 3.5-8、riskRegression 2023.12.21、prodlim、coxphf 1.13.4、ggplot2、patchwork、openxlsx、readxl、gridExtra、scales。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9878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Microsoft YaHei" w:hAnsi="Arial"/>
      <w:b/>
      <w:bCs/>
      <w:color w:val="0D36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Microsoft YaHei" w:hAnsi="Arial"/>
      <w:b/>
      <w:bCs/>
      <w:color w:val="1C5CA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Microsoft YaHei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8a9fac46bef700c96431b2cb43beccd6f9de6da.png"/><Relationship Id="rId9" Type="http://schemas.openxmlformats.org/officeDocument/2006/relationships/image" Target="media/73394455be4d1be47d5f4f2a231d80c9a70eaa50.png"/><Relationship Id="rId10" Type="http://schemas.openxmlformats.org/officeDocument/2006/relationships/image" Target="media/f8b337286eacd2168ad40655212e7cb212220ba6.png"/><Relationship Id="rId11" Type="http://schemas.openxmlformats.org/officeDocument/2006/relationships/image" Target="media/c9f2360a3c333871cbd05e1504645eb3f013a400.png"/><Relationship Id="rId12" Type="http://schemas.openxmlformats.org/officeDocument/2006/relationships/image" Target="media/35b8e0f18a32e5e2cb921ee3dbc3bc68dbcefd4b.png"/><Relationship Id="rId13" Type="http://schemas.openxmlformats.org/officeDocument/2006/relationships/image" Target="media/2e82a1a8929af133c8b6c84fda3ddde5c2aab26d.png"/><Relationship Id="rId14" Type="http://schemas.openxmlformats.org/officeDocument/2006/relationships/image" Target="media/016c9ba143f41ee992d63d595ead821f4cbb56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4.4 结果说明</dc:title>
  <dc:creator>Fig4.4 analysis</dc:creator>
  <cp:lastModifiedBy>Un-named</cp:lastModifiedBy>
  <cp:revision>1</cp:revision>
  <dcterms:created xsi:type="dcterms:W3CDTF">2026-10-11T08:07:47.601Z</dcterms:created>
  <dcterms:modified xsi:type="dcterms:W3CDTF">2026-10-11T08:07:47.606Z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