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C8482" w14:textId="33A5EAB5" w:rsidR="00487185" w:rsidRPr="005F1BAA" w:rsidRDefault="00D257A1" w:rsidP="00AB3B6C">
      <w:pPr>
        <w:pStyle w:val="1"/>
      </w:pPr>
      <w:r w:rsidRPr="005F1BAA">
        <w:t>Variation in Diagnosed Diabetic Eye Disease Across Risk-Factor Subgroups in a Commercially Insured Population</w:t>
      </w:r>
    </w:p>
    <w:p w14:paraId="065E4226" w14:textId="6CD11610" w:rsidR="00D257A1" w:rsidRPr="005F1BAA" w:rsidRDefault="00D257A1" w:rsidP="00AB3B6C">
      <w:pPr>
        <w:pStyle w:val="2"/>
      </w:pPr>
      <w:r w:rsidRPr="005F1BAA">
        <w:t>Research Question and Motivation</w:t>
      </w:r>
    </w:p>
    <w:p w14:paraId="307B2E91" w14:textId="67EDCC4B" w:rsidR="00D257A1" w:rsidRPr="005F1BAA" w:rsidRDefault="00D257A1">
      <w:pPr>
        <w:rPr>
          <w:rFonts w:ascii="Times New Roman" w:hAnsi="Times New Roman" w:cs="Times New Roman"/>
        </w:rPr>
      </w:pPr>
      <w:r w:rsidRPr="005F1BAA">
        <w:rPr>
          <w:rFonts w:ascii="Times New Roman" w:hAnsi="Times New Roman" w:cs="Times New Roman"/>
        </w:rPr>
        <w:t>T</w:t>
      </w:r>
      <w:r w:rsidR="005F1BAA" w:rsidRPr="005F1BAA">
        <w:rPr>
          <w:rFonts w:ascii="Times New Roman" w:hAnsi="Times New Roman" w:cs="Times New Roman"/>
        </w:rPr>
        <w:t>his project examines variation in diagnosed diabetic eye disease across risk-factor subgroups in a commercially insured population. The primary research question is: How does the prevalence of diagnosed diabetic eye disease differ across risk-factor subgroups within a commercially insured population? A secondary research question is: Do state-level behavioral risk patterns, such as adult obesity and physical inactivity, provide context for geographic variation in diagnosed diabetic eye disease?</w:t>
      </w:r>
    </w:p>
    <w:p w14:paraId="7249CA68" w14:textId="693EFEFA" w:rsidR="00135ED3" w:rsidRPr="005F1BAA" w:rsidRDefault="005F1BAA">
      <w:pPr>
        <w:rPr>
          <w:rFonts w:ascii="Times New Roman" w:hAnsi="Times New Roman" w:cs="Times New Roman"/>
        </w:rPr>
      </w:pPr>
      <w:r w:rsidRPr="005F1BAA">
        <w:rPr>
          <w:rFonts w:ascii="Times New Roman" w:hAnsi="Times New Roman" w:cs="Times New Roman"/>
        </w:rPr>
        <w:t>Diabetes-related eye disease is an important public health problem because it can lead to preventable visual impairment and blindness if it is not detected and managed in time. Diabetic retinopathy and diabetic macular edema may progress without early symptoms, meaning that patients may not recognize disease progression until vision loss becomes more serious. National surveillance estimates show that diabetic retinopathy affects a substantial number of people with diabetes in the United States, and the CDC Vision and Eye Health Surveillance System is a major public source for estimating the burden of diabetic retinopathy and related eye conditions</w:t>
      </w:r>
      <w:r w:rsidRPr="005F1BAA">
        <w:rPr>
          <w:rFonts w:ascii="Times New Roman" w:hAnsi="Times New Roman" w:cs="Times New Roman"/>
        </w:rPr>
        <w:t xml:space="preserve"> </w:t>
      </w:r>
      <w:r w:rsidR="00CF2D5F" w:rsidRPr="005F1BAA">
        <w:rPr>
          <w:rFonts w:ascii="Times New Roman" w:hAnsi="Times New Roman" w:cs="Times New Roman"/>
        </w:rPr>
        <w:fldChar w:fldCharType="begin"/>
      </w:r>
      <w:r w:rsidR="00CF2D5F" w:rsidRPr="005F1BAA">
        <w:rPr>
          <w:rFonts w:ascii="Times New Roman" w:hAnsi="Times New Roman" w:cs="Times New Roman"/>
        </w:rPr>
        <w:instrText xml:space="preserve"> ADDIN ZOTERO_ITEM CSL_CITATION {"citationID":"XvQvtlK3","properties":{"unsorted":false,"formattedCitation":"(1)","plainCitation":"(1)","noteIndex":0},"citationItems":[{"id":150,"uris":["http://zotero.org/users/18047066/items/5YVSIC2T"],"itemData":{"id":150,"type":"entry-encyclopedia","title":"VEHSS Modeled Estimates: Prevalence of Diabetic Retinopathy (DR)","URL":"https://www.cdc.gov/vision-health-data/prevalence-estimates/dr-prevalence.html"}}],"schema":"https://github.com/citation-style-language/schema/raw/master/csl-citation.json"} </w:instrText>
      </w:r>
      <w:r w:rsidR="00CF2D5F" w:rsidRPr="005F1BAA">
        <w:rPr>
          <w:rFonts w:ascii="Times New Roman" w:hAnsi="Times New Roman" w:cs="Times New Roman"/>
        </w:rPr>
        <w:fldChar w:fldCharType="separate"/>
      </w:r>
      <w:r w:rsidR="00CF2D5F" w:rsidRPr="005F1BAA">
        <w:rPr>
          <w:rFonts w:ascii="Times New Roman" w:hAnsi="Times New Roman" w:cs="Times New Roman"/>
          <w:noProof/>
        </w:rPr>
        <w:t>(1)</w:t>
      </w:r>
      <w:r w:rsidR="00CF2D5F" w:rsidRPr="005F1BAA">
        <w:rPr>
          <w:rFonts w:ascii="Times New Roman" w:hAnsi="Times New Roman" w:cs="Times New Roman"/>
        </w:rPr>
        <w:fldChar w:fldCharType="end"/>
      </w:r>
      <w:r w:rsidR="00135ED3" w:rsidRPr="005F1BAA">
        <w:rPr>
          <w:rFonts w:ascii="Times New Roman" w:hAnsi="Times New Roman" w:cs="Times New Roman"/>
        </w:rPr>
        <w:t>.</w:t>
      </w:r>
    </w:p>
    <w:p w14:paraId="63CDE778" w14:textId="310DF114" w:rsidR="00135ED3" w:rsidRPr="005F1BAA" w:rsidRDefault="005F1BAA">
      <w:pPr>
        <w:rPr>
          <w:rFonts w:ascii="Times New Roman" w:hAnsi="Times New Roman" w:cs="Times New Roman"/>
        </w:rPr>
      </w:pPr>
      <w:r w:rsidRPr="005F1BAA">
        <w:rPr>
          <w:rFonts w:ascii="Times New Roman" w:hAnsi="Times New Roman" w:cs="Times New Roman"/>
        </w:rPr>
        <w:t>This project builds on prior research showing that diabetic retinopathy remains a major health burden in the United States. Lundeen et al. reported that the estimated number of people with diabetic retinopathy and vision-threatening diabetic retinopathy has increased substantially over time, highlighting the continuing importance of diabetes-related eye disease surveillance. This evidence suggests that diabetes-related eye complications remain an important clinical and public health concern, even in settings where healthcare coverage and diagnostic services are available</w:t>
      </w:r>
      <w:r w:rsidRPr="005F1BAA">
        <w:rPr>
          <w:rFonts w:ascii="Times New Roman" w:hAnsi="Times New Roman" w:cs="Times New Roman"/>
        </w:rPr>
        <w:t xml:space="preserve"> </w:t>
      </w:r>
      <w:r w:rsidR="00CF2D5F" w:rsidRPr="005F1BAA">
        <w:rPr>
          <w:rFonts w:ascii="Times New Roman" w:hAnsi="Times New Roman" w:cs="Times New Roman"/>
        </w:rPr>
        <w:fldChar w:fldCharType="begin"/>
      </w:r>
      <w:r w:rsidR="00CF2D5F" w:rsidRPr="005F1BAA">
        <w:rPr>
          <w:rFonts w:ascii="Times New Roman" w:hAnsi="Times New Roman" w:cs="Times New Roman"/>
        </w:rPr>
        <w:instrText xml:space="preserve"> ADDIN ZOTERO_ITEM CSL_CITATION {"citationID":"cFP4iABS","properties":{"unsorted":false,"formattedCitation":"(2)","plainCitation":"(2)","noteIndex":0},"citationItems":[{"id":152,"uris":["http://zotero.org/users/18047066/items/T87IAPDZ"],"itemData":{"id":152,"type":"article-journal","abstract":"OBJECTIVE To update estimates of DR and vision-threatening diabetic retinopathy (VTDR) prevalence by demographic factors and US county and state. DATA SOURCES The study team included data from the National Health and Nutrition Examination Survey (2005 to 2008 and 2017 to March 2020), Medicare fee-for-service claims (2018), IBM MarketScan commercial insurance claims (2016), population-based studies of adult eye disease (2001 to 2016), 2 studies of diabetes in youth (2021 and 2023), and a previously published analysis of diabetes by county (2012). The study team used population estimates from the US Census Bureau. STUDY SELECTION The study team included relevant data from the US Centers for Disease Control and Prevention’s Vision and Eye Health Surveillance System. DATA EXTRACTION AND SYNTHESIS Using bayesian meta-regression methods, the study team estimated the prevalence of DR and VTDR stratified by age, a nondifferentiated sex and gender measure, race, ethnicity, and US county and state. MAIN OUTCOMES AND MEASURES The study team defined individuals with diabetes as those who had a hemoglobin A1c level at 6.5% or more, took insulin, or reported ever having been told by a physician or health care professional that they have diabetes. The study team defined DR as any retinopathy in the presence of diabetes, including nonproliferative retinopathy (mild, moderate, or severe), proliferative retinopathy, or macular edema. The study team defined VTDR as having, in the presence of diabetes, severe nonproliferative retinopathy, proliferative retinopathy, panretinal photocoagulation scars, or macular edema.\nRESULTS This study used data from nationally representative and local population-based studies that represent the populations in which they were conducted. For 2021, the study team estimated 9.60 million people (95% uncertainty interval [UI], 7.90-11.55) living with DR, corresponding to a prevalence rate of 26.43% (95% UI, 21.95-31.60) among people with diabetes. The study team estimated 1.84 million people (95% UI, 1.41-2.40) living with VTDR, corresponding to a prevalence rate of 5.06% (95% UI, 3.90-6.57) among people with diabetes. Prevalence of DR and VTDR varied by demographic characteristics and geography.\nCONCLUSIONS AND RELEVANCE US prevalence of diabetes-related eye disease remains high. These updated estimates on the burden and geographic distribution of diabetes-related eye disease can be used to inform the allocation of public health resources and interventions to communities and populations at highest risk.","container-title":"JAMA Ophthalmology","DOI":"10.1001/jamaophthalmol.2023.2289","ISSN":"2168-6165","issue":"8","journalAbbreviation":"JAMA Ophthalmol","language":"en","page":"747","source":"DOI.org (Crossref)","title":"Prevalence of Diabetic Retinopathy in the US in 2021","volume":"141","author":[{"family":"Lundeen","given":"Elizabeth A."},{"family":"Burke-Conte","given":"Zeb"},{"family":"Rein","given":"David B."},{"family":"Wittenborn","given":"John S."},{"family":"Saaddine","given":"Jinan"},{"family":"Lee","given":"Aaron Y."},{"family":"Flaxman","given":"Abraham D."}],"issued":{"date-parts":[["2023",8,1]]}}}],"schema":"https://github.com/citation-style-language/schema/raw/master/csl-citation.json"} </w:instrText>
      </w:r>
      <w:r w:rsidR="00CF2D5F" w:rsidRPr="005F1BAA">
        <w:rPr>
          <w:rFonts w:ascii="Times New Roman" w:hAnsi="Times New Roman" w:cs="Times New Roman"/>
        </w:rPr>
        <w:fldChar w:fldCharType="separate"/>
      </w:r>
      <w:r w:rsidR="00CF2D5F" w:rsidRPr="005F1BAA">
        <w:rPr>
          <w:rFonts w:ascii="Times New Roman" w:hAnsi="Times New Roman" w:cs="Times New Roman"/>
          <w:noProof/>
        </w:rPr>
        <w:t>(2)</w:t>
      </w:r>
      <w:r w:rsidR="00CF2D5F" w:rsidRPr="005F1BAA">
        <w:rPr>
          <w:rFonts w:ascii="Times New Roman" w:hAnsi="Times New Roman" w:cs="Times New Roman"/>
        </w:rPr>
        <w:fldChar w:fldCharType="end"/>
      </w:r>
      <w:r w:rsidR="00135ED3" w:rsidRPr="005F1BAA">
        <w:rPr>
          <w:rFonts w:ascii="Times New Roman" w:hAnsi="Times New Roman" w:cs="Times New Roman"/>
        </w:rPr>
        <w:t>.</w:t>
      </w:r>
    </w:p>
    <w:p w14:paraId="26372887" w14:textId="36955797" w:rsidR="00135ED3" w:rsidRPr="005F1BAA" w:rsidRDefault="005F1BAA">
      <w:pPr>
        <w:rPr>
          <w:rFonts w:ascii="Times New Roman" w:hAnsi="Times New Roman" w:cs="Times New Roman"/>
        </w:rPr>
      </w:pPr>
      <w:r w:rsidRPr="005F1BAA">
        <w:rPr>
          <w:rFonts w:ascii="Times New Roman" w:hAnsi="Times New Roman" w:cs="Times New Roman"/>
        </w:rPr>
        <w:t xml:space="preserve">The motivation for this project shifted slightly during exploratory analysis. The original project idea was broader and focused on preventive eye care access. However, after reviewing the available variables in the MarketScan Commercial Medical Insurance dataset from the Vision and Eye Health Surveillance System, the analysis became more focused on diagnosed </w:t>
      </w:r>
      <w:r w:rsidRPr="005F1BAA">
        <w:rPr>
          <w:rFonts w:ascii="Times New Roman" w:hAnsi="Times New Roman" w:cs="Times New Roman"/>
        </w:rPr>
        <w:lastRenderedPageBreak/>
        <w:t>diabetic eye disease prevalence and how that prevalence varied across risk-factor and geographic subgroups. This shift was appropriate because the available claims-based summary data directly captured diagnosed eye disease indicators, risk-factor categories, state, year, age, sex, and other subgroup variables, but did not provide individual-level clinical information such as HbA1c values, diabetes duration, or detailed screening adherence</w:t>
      </w:r>
      <w:r w:rsidR="00C4710C" w:rsidRPr="005F1BAA">
        <w:rPr>
          <w:rFonts w:ascii="Times New Roman" w:hAnsi="Times New Roman" w:cs="Times New Roman"/>
        </w:rPr>
        <w:t>.</w:t>
      </w:r>
    </w:p>
    <w:p w14:paraId="6136B142" w14:textId="215D8D5F" w:rsidR="00056587" w:rsidRDefault="005F1BAA">
      <w:pPr>
        <w:rPr>
          <w:rFonts w:ascii="Times New Roman" w:hAnsi="Times New Roman" w:cs="Times New Roman"/>
        </w:rPr>
      </w:pPr>
      <w:r w:rsidRPr="005F1BAA">
        <w:rPr>
          <w:rFonts w:ascii="Times New Roman" w:hAnsi="Times New Roman" w:cs="Times New Roman"/>
        </w:rPr>
        <w:t>The healthcare significance of this question is that subgroup and geographic variation can help identify populations with higher diagnosed disease burden. For insurers and employers, understanding these patterns may support prevention strategies and management programs for commercially insured adults. For clinicians and eye care providers, the results may highlight the importance of screening and follow-up among patients with diabetes and related risk factors. For public health researchers, this project demonstrates how claims-based surveillance data can be combined with behavioral surveillance data to describe geographic patterns in diabetes-related eye disease</w:t>
      </w:r>
      <w:r w:rsidR="00C4710C" w:rsidRPr="005F1BAA">
        <w:rPr>
          <w:rFonts w:ascii="Times New Roman" w:hAnsi="Times New Roman" w:cs="Times New Roman"/>
        </w:rPr>
        <w:t>.</w:t>
      </w:r>
    </w:p>
    <w:p w14:paraId="1D052DDC" w14:textId="77777777" w:rsidR="00056587" w:rsidRDefault="00056587">
      <w:pPr>
        <w:widowControl/>
        <w:rPr>
          <w:rFonts w:ascii="Times New Roman" w:hAnsi="Times New Roman" w:cs="Times New Roman"/>
        </w:rPr>
      </w:pPr>
      <w:r>
        <w:rPr>
          <w:rFonts w:ascii="Times New Roman" w:hAnsi="Times New Roman" w:cs="Times New Roman"/>
        </w:rPr>
        <w:br w:type="page"/>
      </w:r>
    </w:p>
    <w:p w14:paraId="16AA7F22" w14:textId="6DE3B3A9" w:rsidR="00C4710C" w:rsidRPr="00C4710C" w:rsidRDefault="00C4710C" w:rsidP="00AB3B6C">
      <w:pPr>
        <w:pStyle w:val="2"/>
      </w:pPr>
      <w:r w:rsidRPr="00C4710C">
        <w:lastRenderedPageBreak/>
        <w:t>Data sources:</w:t>
      </w:r>
    </w:p>
    <w:p w14:paraId="56458EC4" w14:textId="3EB7C54F" w:rsidR="00C4710C" w:rsidRPr="005F1BAA" w:rsidRDefault="005F1BAA">
      <w:pPr>
        <w:rPr>
          <w:rFonts w:ascii="Times New Roman" w:hAnsi="Times New Roman" w:cs="Times New Roman"/>
        </w:rPr>
      </w:pPr>
      <w:r w:rsidRPr="005F1BAA">
        <w:rPr>
          <w:rFonts w:ascii="Times New Roman" w:hAnsi="Times New Roman" w:cs="Times New Roman"/>
        </w:rPr>
        <w:t xml:space="preserve">The primary data source for this project was the </w:t>
      </w:r>
      <w:r w:rsidRPr="005F1BAA">
        <w:rPr>
          <w:rFonts w:ascii="Times New Roman" w:hAnsi="Times New Roman" w:cs="Times New Roman"/>
          <w:b/>
          <w:bCs/>
        </w:rPr>
        <w:t>Commercial Medical Insurance (MSCANCC) dataset from the CDC Vision and Eye Health Surveillance System (VEHSS)</w:t>
      </w:r>
      <w:r w:rsidRPr="005F1BAA">
        <w:rPr>
          <w:rFonts w:ascii="Times New Roman" w:hAnsi="Times New Roman" w:cs="Times New Roman"/>
        </w:rPr>
        <w:t>. This dataset contains de-identified summary measures of vision and eye health indicators based on MarketScan Commercial Claims and Encounters data. The MarketScan Commercial Claims and Encounters data include insurance claims information from people with employer-sponsored commercial insurance and their dependents. CDC describes the MarketScan data as a convenience sample of commercial claims data</w:t>
      </w:r>
      <w:r>
        <w:rPr>
          <w:rFonts w:ascii="Times New Roman" w:hAnsi="Times New Roman" w:cs="Times New Roman" w:hint="eastAsia"/>
        </w:rPr>
        <w:t xml:space="preserve"> </w:t>
      </w:r>
      <w:r w:rsidR="00CF2D5F" w:rsidRPr="005F1BAA">
        <w:rPr>
          <w:rFonts w:ascii="Times New Roman" w:hAnsi="Times New Roman" w:cs="Times New Roman"/>
        </w:rPr>
        <w:fldChar w:fldCharType="begin"/>
      </w:r>
      <w:r w:rsidR="00CF2D5F" w:rsidRPr="005F1BAA">
        <w:rPr>
          <w:rFonts w:ascii="Times New Roman" w:hAnsi="Times New Roman" w:cs="Times New Roman"/>
        </w:rPr>
        <w:instrText xml:space="preserve"> ADDIN ZOTERO_ITEM CSL_CITATION {"citationID":"s41IuRTF","properties":{"unsorted":false,"formattedCitation":"(3)","plainCitation":"(3)","noteIndex":0},"citationItems":[{"id":154,"uris":["http://zotero.org/users/18047066/items/LD4Q8L79"],"itemData":{"id":154,"type":"entry-encyclopedia","collection-title":"Vision and Eye Health Surveillance System (VEHSS)","title":"About the Data: MarketScan","URL":"https://www.cdc.gov/vision-health-data/data-sources/marketscan.html"}}],"schema":"https://github.com/citation-style-language/schema/raw/master/csl-citation.json"} </w:instrText>
      </w:r>
      <w:r w:rsidR="00CF2D5F" w:rsidRPr="005F1BAA">
        <w:rPr>
          <w:rFonts w:ascii="Times New Roman" w:hAnsi="Times New Roman" w:cs="Times New Roman"/>
        </w:rPr>
        <w:fldChar w:fldCharType="separate"/>
      </w:r>
      <w:r w:rsidR="00CF2D5F" w:rsidRPr="005F1BAA">
        <w:rPr>
          <w:rFonts w:ascii="Times New Roman" w:hAnsi="Times New Roman" w:cs="Times New Roman"/>
          <w:noProof/>
        </w:rPr>
        <w:t>(3)</w:t>
      </w:r>
      <w:r w:rsidR="00CF2D5F" w:rsidRPr="005F1BAA">
        <w:rPr>
          <w:rFonts w:ascii="Times New Roman" w:hAnsi="Times New Roman" w:cs="Times New Roman"/>
        </w:rPr>
        <w:fldChar w:fldCharType="end"/>
      </w:r>
      <w:r w:rsidR="004B515F" w:rsidRPr="005F1BAA">
        <w:rPr>
          <w:rFonts w:ascii="Times New Roman" w:hAnsi="Times New Roman" w:cs="Times New Roman"/>
        </w:rPr>
        <w:t>.</w:t>
      </w:r>
    </w:p>
    <w:p w14:paraId="379ABCD1" w14:textId="367C8172" w:rsidR="00135ED3" w:rsidRPr="005F1BAA" w:rsidRDefault="004B515F">
      <w:pPr>
        <w:rPr>
          <w:rFonts w:ascii="Times New Roman" w:hAnsi="Times New Roman" w:cs="Times New Roman"/>
        </w:rPr>
      </w:pPr>
      <w:r w:rsidRPr="005F1BAA">
        <w:rPr>
          <w:rFonts w:ascii="Times New Roman" w:hAnsi="Times New Roman" w:cs="Times New Roman"/>
        </w:rPr>
        <w:t>The dataset was obtained from the CDC public data portal. Each record in the primary dataset represents a stratified summary observation for a specific eye health indicator.</w:t>
      </w:r>
      <w:r w:rsidR="005F1BAA">
        <w:rPr>
          <w:rFonts w:ascii="Times New Roman" w:hAnsi="Times New Roman" w:cs="Times New Roman" w:hint="eastAsia"/>
        </w:rPr>
        <w:t xml:space="preserve"> </w:t>
      </w:r>
      <w:r w:rsidRPr="005F1BAA">
        <w:rPr>
          <w:rFonts w:ascii="Times New Roman" w:hAnsi="Times New Roman" w:cs="Times New Roman"/>
        </w:rPr>
        <w:t xml:space="preserve">The Unit of observation is not an individual patient; instead, each row </w:t>
      </w:r>
      <w:r w:rsidR="005F1BAA" w:rsidRPr="005F1BAA">
        <w:rPr>
          <w:rFonts w:ascii="Times New Roman" w:hAnsi="Times New Roman" w:cs="Times New Roman"/>
        </w:rPr>
        <w:t>represents</w:t>
      </w:r>
      <w:r w:rsidRPr="005F1BAA">
        <w:rPr>
          <w:rFonts w:ascii="Times New Roman" w:hAnsi="Times New Roman" w:cs="Times New Roman"/>
        </w:rPr>
        <w:t xml:space="preserve"> a summary measure defined by combinations of variables such as year, state, question, risk, </w:t>
      </w:r>
      <w:r w:rsidR="005F1BAA" w:rsidRPr="005F1BAA">
        <w:rPr>
          <w:rFonts w:ascii="Times New Roman" w:hAnsi="Times New Roman" w:cs="Times New Roman"/>
        </w:rPr>
        <w:t>factor,</w:t>
      </w:r>
      <w:r w:rsidRPr="005F1BAA">
        <w:rPr>
          <w:rFonts w:ascii="Times New Roman" w:hAnsi="Times New Roman" w:cs="Times New Roman"/>
        </w:rPr>
        <w:t xml:space="preserve"> risk-factor response, age group, sex, </w:t>
      </w:r>
      <w:r w:rsidR="005F1BAA" w:rsidRPr="005F1BAA">
        <w:rPr>
          <w:rFonts w:ascii="Times New Roman" w:hAnsi="Times New Roman" w:cs="Times New Roman"/>
        </w:rPr>
        <w:t>race. /Ethnicity</w:t>
      </w:r>
      <w:r w:rsidRPr="005F1BAA">
        <w:rPr>
          <w:rFonts w:ascii="Times New Roman" w:hAnsi="Times New Roman" w:cs="Times New Roman"/>
        </w:rPr>
        <w:t>, and other stratification fields. Key variable used in this project include</w:t>
      </w:r>
      <w:r w:rsidRPr="005F1BAA">
        <w:rPr>
          <w:rFonts w:ascii="Courier New" w:hAnsi="Courier New" w:cs="Courier New"/>
        </w:rPr>
        <w:t xml:space="preserve"> year_start, state_abbr, question, Risk_factor, risk_factor_response, age sex, and data_value</w:t>
      </w:r>
      <w:r w:rsidRPr="005F1BAA">
        <w:rPr>
          <w:rFonts w:ascii="Times New Roman" w:hAnsi="Times New Roman" w:cs="Times New Roman"/>
        </w:rPr>
        <w:t xml:space="preserve">. The main outcome variable was the prevalence </w:t>
      </w:r>
      <w:r w:rsidR="005F1BAA" w:rsidRPr="005F1BAA">
        <w:rPr>
          <w:rFonts w:ascii="Times New Roman" w:hAnsi="Times New Roman" w:cs="Times New Roman"/>
        </w:rPr>
        <w:t>estimated</w:t>
      </w:r>
      <w:r w:rsidRPr="005F1BAA">
        <w:rPr>
          <w:rFonts w:ascii="Times New Roman" w:hAnsi="Times New Roman" w:cs="Times New Roman"/>
        </w:rPr>
        <w:t xml:space="preserve"> for diagnosed </w:t>
      </w:r>
      <w:r w:rsidR="005F1BAA" w:rsidRPr="005F1BAA">
        <w:rPr>
          <w:rFonts w:ascii="Times New Roman" w:hAnsi="Times New Roman" w:cs="Times New Roman"/>
        </w:rPr>
        <w:t>diabetic</w:t>
      </w:r>
      <w:r w:rsidRPr="005F1BAA">
        <w:rPr>
          <w:rFonts w:ascii="Times New Roman" w:hAnsi="Times New Roman" w:cs="Times New Roman"/>
        </w:rPr>
        <w:t xml:space="preserve"> eye disease. The temporal coverage in the working dataset includes </w:t>
      </w:r>
      <w:r w:rsidR="005F1BAA" w:rsidRPr="005F1BAA">
        <w:rPr>
          <w:rFonts w:ascii="Times New Roman" w:hAnsi="Times New Roman" w:cs="Times New Roman"/>
        </w:rPr>
        <w:t>years</w:t>
      </w:r>
      <w:r w:rsidRPr="005F1BAA">
        <w:rPr>
          <w:rFonts w:ascii="Times New Roman" w:hAnsi="Times New Roman" w:cs="Times New Roman"/>
        </w:rPr>
        <w:t xml:space="preserve"> such as 2016, 2020, and 2023, depending on the specific measure and subgroup availability.</w:t>
      </w:r>
    </w:p>
    <w:p w14:paraId="391F20C4" w14:textId="16778807" w:rsidR="004B515F" w:rsidRPr="005F1BAA" w:rsidRDefault="004B515F">
      <w:pPr>
        <w:rPr>
          <w:rFonts w:ascii="Times New Roman" w:hAnsi="Times New Roman" w:cs="Times New Roman"/>
        </w:rPr>
      </w:pPr>
      <w:r w:rsidRPr="005F1BAA">
        <w:rPr>
          <w:rFonts w:ascii="Times New Roman" w:hAnsi="Times New Roman" w:cs="Times New Roman"/>
        </w:rPr>
        <w:t xml:space="preserve">The source contributed directly to the main research question because it contained claims-based summary </w:t>
      </w:r>
      <w:r w:rsidR="005F1BAA" w:rsidRPr="005F1BAA">
        <w:rPr>
          <w:rFonts w:ascii="Times New Roman" w:hAnsi="Times New Roman" w:cs="Times New Roman"/>
        </w:rPr>
        <w:t>estimated</w:t>
      </w:r>
      <w:r w:rsidRPr="005F1BAA">
        <w:rPr>
          <w:rFonts w:ascii="Times New Roman" w:hAnsi="Times New Roman" w:cs="Times New Roman"/>
        </w:rPr>
        <w:t xml:space="preserve"> of diagnosed diabetic eye disease in a commercially insured population. It also included subgroup variables that allowed descriptive </w:t>
      </w:r>
      <w:r w:rsidR="005F1BAA" w:rsidRPr="005F1BAA">
        <w:rPr>
          <w:rFonts w:ascii="Times New Roman" w:hAnsi="Times New Roman" w:cs="Times New Roman"/>
        </w:rPr>
        <w:t>comparison</w:t>
      </w:r>
      <w:r w:rsidRPr="005F1BAA">
        <w:rPr>
          <w:rFonts w:ascii="Times New Roman" w:hAnsi="Times New Roman" w:cs="Times New Roman"/>
        </w:rPr>
        <w:t xml:space="preserve"> across risk-factor responses and states. Because the project focused</w:t>
      </w:r>
      <w:r w:rsidR="00C07176" w:rsidRPr="005F1BAA">
        <w:rPr>
          <w:rFonts w:ascii="Times New Roman" w:hAnsi="Times New Roman" w:cs="Times New Roman"/>
        </w:rPr>
        <w:t xml:space="preserve"> on commercially insured populations, that dataset was more aligned with research question that a general population survey alone.</w:t>
      </w:r>
    </w:p>
    <w:p w14:paraId="60AF2168" w14:textId="445E4FC4" w:rsidR="00C07176" w:rsidRPr="005F1BAA" w:rsidRDefault="005F1BAA">
      <w:pPr>
        <w:rPr>
          <w:rFonts w:ascii="Times New Roman" w:hAnsi="Times New Roman" w:cs="Times New Roman"/>
        </w:rPr>
      </w:pPr>
      <w:r w:rsidRPr="005F1BAA">
        <w:rPr>
          <w:rFonts w:ascii="Times New Roman" w:hAnsi="Times New Roman" w:cs="Times New Roman"/>
        </w:rPr>
        <w:t xml:space="preserve">The supplementary data source was the </w:t>
      </w:r>
      <w:r w:rsidRPr="005F1BAA">
        <w:rPr>
          <w:rFonts w:ascii="Times New Roman" w:hAnsi="Times New Roman" w:cs="Times New Roman"/>
          <w:b/>
          <w:bCs/>
        </w:rPr>
        <w:t>Nutrition, Physical Activity, and Obesity – Behavioral Risk Factor Surveillance System dataset</w:t>
      </w:r>
      <w:r w:rsidRPr="005F1BAA">
        <w:rPr>
          <w:rFonts w:ascii="Times New Roman" w:hAnsi="Times New Roman" w:cs="Times New Roman"/>
        </w:rPr>
        <w:t xml:space="preserve"> from CDC. This dataset includes public health indicators related to adult diet, physical activity, and weight status, using data from the Behavioral Risk Factor Surveillance System. BRFSS is a state-based telephone survey that collects self-reported information about health conditions and health behaviors among adults</w:t>
      </w:r>
      <w:r w:rsidR="00CF2D5F" w:rsidRPr="005F1BAA">
        <w:rPr>
          <w:rFonts w:ascii="Times New Roman" w:hAnsi="Times New Roman" w:cs="Times New Roman"/>
        </w:rPr>
        <w:fldChar w:fldCharType="begin"/>
      </w:r>
      <w:r w:rsidR="00CF2D5F" w:rsidRPr="005F1BAA">
        <w:rPr>
          <w:rFonts w:ascii="Times New Roman" w:hAnsi="Times New Roman" w:cs="Times New Roman"/>
        </w:rPr>
        <w:instrText xml:space="preserve"> ADDIN ZOTERO_ITEM CSL_CITATION {"citationID":"RKeMJj7k","properties":{"unsorted":false,"formattedCitation":"(4)","plainCitation":"(4)","noteIndex":0},"citationItems":[{"id":155,"uris":["http://zotero.org/users/18047066/items/PHM6AG9F"],"itemData":{"id":155,"type":"report","publisher":"CDC","title":"Nutrition, Physical Activity, and Obesity - Behavioral Risk Factor Surveillance System","URL":"https://data.cdc.gov/Nutrition-Physical-Activity-and-Obesity/Nutrition-Physical-Activity-and-Obesity-Behavioral/hn4x-zwk7/about_data"}}],"schema":"https://github.com/citation-style-language/schema/raw/master/csl-citation.json"} </w:instrText>
      </w:r>
      <w:r w:rsidR="00CF2D5F" w:rsidRPr="005F1BAA">
        <w:rPr>
          <w:rFonts w:ascii="Times New Roman" w:hAnsi="Times New Roman" w:cs="Times New Roman"/>
        </w:rPr>
        <w:fldChar w:fldCharType="separate"/>
      </w:r>
      <w:r w:rsidR="00CF2D5F" w:rsidRPr="005F1BAA">
        <w:rPr>
          <w:rFonts w:ascii="Times New Roman" w:hAnsi="Times New Roman" w:cs="Times New Roman"/>
          <w:noProof/>
        </w:rPr>
        <w:t>(4)</w:t>
      </w:r>
      <w:r w:rsidR="00CF2D5F" w:rsidRPr="005F1BAA">
        <w:rPr>
          <w:rFonts w:ascii="Times New Roman" w:hAnsi="Times New Roman" w:cs="Times New Roman"/>
        </w:rPr>
        <w:fldChar w:fldCharType="end"/>
      </w:r>
      <w:r w:rsidR="00C07176" w:rsidRPr="005F1BAA">
        <w:rPr>
          <w:rFonts w:ascii="Times New Roman" w:hAnsi="Times New Roman" w:cs="Times New Roman"/>
        </w:rPr>
        <w:t>.</w:t>
      </w:r>
    </w:p>
    <w:p w14:paraId="71F734F6" w14:textId="3FE8EF7B" w:rsidR="00C07176" w:rsidRPr="005F1BAA" w:rsidRDefault="008421C6">
      <w:pPr>
        <w:rPr>
          <w:rFonts w:ascii="Times New Roman" w:hAnsi="Times New Roman" w:cs="Times New Roman"/>
        </w:rPr>
      </w:pPr>
      <w:r w:rsidRPr="005F1BAA">
        <w:rPr>
          <w:rFonts w:ascii="Times New Roman" w:hAnsi="Times New Roman" w:cs="Times New Roman"/>
        </w:rPr>
        <w:t>A key change from the original proposal was that the BRFSS dataset was used only as a contextual and ecological source, not as an individual-level risk-factor dataset. Because the MarketScan and BRFSS datasets cannot be linked at the patient level, the supplementary source was used to examine state-level correlations rather than individual associations.</w:t>
      </w:r>
    </w:p>
    <w:p w14:paraId="4563A686" w14:textId="7C18B85F" w:rsidR="00056587" w:rsidRDefault="00056587">
      <w:pPr>
        <w:widowControl/>
        <w:rPr>
          <w:rFonts w:ascii="Times New Roman" w:hAnsi="Times New Roman" w:cs="Times New Roman"/>
        </w:rPr>
      </w:pPr>
      <w:r>
        <w:rPr>
          <w:rFonts w:ascii="Times New Roman" w:hAnsi="Times New Roman" w:cs="Times New Roman"/>
        </w:rPr>
        <w:br w:type="page"/>
      </w:r>
    </w:p>
    <w:p w14:paraId="6AA9CF9A" w14:textId="5897B119" w:rsidR="00397124" w:rsidRPr="005F1BAA" w:rsidRDefault="00397124" w:rsidP="00AB3B6C">
      <w:pPr>
        <w:pStyle w:val="2"/>
      </w:pPr>
      <w:r w:rsidRPr="005F1BAA">
        <w:lastRenderedPageBreak/>
        <w:t>Data Integration and Analysis Methods</w:t>
      </w:r>
    </w:p>
    <w:p w14:paraId="2D30B423" w14:textId="5C243295" w:rsidR="00397124" w:rsidRPr="005F1BAA" w:rsidRDefault="005F1BAA">
      <w:pPr>
        <w:rPr>
          <w:rFonts w:ascii="Times New Roman" w:hAnsi="Times New Roman" w:cs="Times New Roman"/>
        </w:rPr>
      </w:pPr>
      <w:r w:rsidRPr="005F1BAA">
        <w:rPr>
          <w:rFonts w:ascii="Times New Roman" w:hAnsi="Times New Roman" w:cs="Times New Roman"/>
        </w:rPr>
        <w:t>The project used a descriptive, repeated cross-sectional design based on publicly available summary data. The primary analysis focused on variation in diagnosed diabetic eye disease prevalence within the MarketScan claims summary dataset. The supplementary analysis explored whether state-level behavioral indicators from BRFSS were associated with state-level diagnosed diabetic eye disease prevalenc</w:t>
      </w:r>
      <w:r w:rsidR="00397124" w:rsidRPr="005F1BAA">
        <w:rPr>
          <w:rFonts w:ascii="Times New Roman" w:hAnsi="Times New Roman" w:cs="Times New Roman"/>
        </w:rPr>
        <w:t>e.</w:t>
      </w:r>
    </w:p>
    <w:p w14:paraId="55357AC7" w14:textId="01F323E4" w:rsidR="00397124" w:rsidRPr="005F1BAA" w:rsidRDefault="005F1BAA">
      <w:pPr>
        <w:rPr>
          <w:rFonts w:ascii="Times New Roman" w:hAnsi="Times New Roman" w:cs="Times New Roman" w:hint="eastAsia"/>
        </w:rPr>
      </w:pPr>
      <w:r w:rsidRPr="005F1BAA">
        <w:rPr>
          <w:rFonts w:ascii="Times New Roman" w:hAnsi="Times New Roman" w:cs="Times New Roman"/>
        </w:rPr>
        <w:t xml:space="preserve">The two datasets were integrated at the state-year level where possible. The main join keys were state abbreviation and year. In the MarketScan dataset, the state variable was represented by state_abbr, and the year variable was represented by year_start. In the BRFSS dataset, the state variable was represented by </w:t>
      </w:r>
      <w:r w:rsidRPr="005F1BAA">
        <w:rPr>
          <w:rFonts w:ascii="Courier New" w:hAnsi="Courier New" w:cs="Courier New"/>
        </w:rPr>
        <w:t>location_abbr</w:t>
      </w:r>
      <w:r w:rsidRPr="005F1BAA">
        <w:rPr>
          <w:rFonts w:ascii="Times New Roman" w:hAnsi="Times New Roman" w:cs="Times New Roman"/>
        </w:rPr>
        <w:t xml:space="preserve">, and the year variable was represented by </w:t>
      </w:r>
      <w:r w:rsidRPr="005F1BAA">
        <w:rPr>
          <w:rFonts w:ascii="Courier New" w:hAnsi="Courier New" w:cs="Courier New"/>
        </w:rPr>
        <w:t>year_start</w:t>
      </w:r>
      <w:r w:rsidRPr="005F1BAA">
        <w:rPr>
          <w:rFonts w:ascii="Times New Roman" w:hAnsi="Times New Roman" w:cs="Times New Roman"/>
        </w:rPr>
        <w:t>. These variables were used to join the datasets</w:t>
      </w:r>
      <w:r>
        <w:rPr>
          <w:rFonts w:ascii="Times New Roman" w:hAnsi="Times New Roman" w:cs="Times New Roman" w:hint="eastAsia"/>
        </w:rPr>
        <w:t>.</w:t>
      </w:r>
    </w:p>
    <w:p w14:paraId="6743650C" w14:textId="13D8F72A" w:rsidR="00397124" w:rsidRPr="005F1BAA" w:rsidRDefault="005F1BAA">
      <w:pPr>
        <w:rPr>
          <w:rFonts w:ascii="Times New Roman" w:hAnsi="Times New Roman" w:cs="Times New Roman"/>
        </w:rPr>
      </w:pPr>
      <w:r w:rsidRPr="005F1BAA">
        <w:rPr>
          <w:rFonts w:ascii="Times New Roman" w:hAnsi="Times New Roman" w:cs="Times New Roman"/>
        </w:rPr>
        <w:t>A left join was used to preserve all MarketScan state-year records. After the join, unmatched or incomplete records were identified. The joined dataset contained 94 records, 48 states, and 2 years. Five records had missing BRFSS obesity and physical inactivity values, including records for Kentucky, Pennsylvania, Florida, and records labeled as missing location. After removing records with missing values for diabetic eye disease prevalence, obesity prevalence, or physical inactivity prevalence, the final complete-case analytic dataset included 89 records</w:t>
      </w:r>
      <w:r w:rsidR="0014655F" w:rsidRPr="005F1BAA">
        <w:rPr>
          <w:rFonts w:ascii="Times New Roman" w:hAnsi="Times New Roman" w:cs="Times New Roman"/>
        </w:rPr>
        <w:t>.</w:t>
      </w:r>
    </w:p>
    <w:p w14:paraId="350844F6" w14:textId="77777777" w:rsidR="005F1BAA" w:rsidRDefault="005F1BAA">
      <w:pPr>
        <w:rPr>
          <w:rFonts w:ascii="Times New Roman" w:hAnsi="Times New Roman" w:cs="Times New Roman"/>
        </w:rPr>
      </w:pPr>
      <w:r w:rsidRPr="005F1BAA">
        <w:rPr>
          <w:rFonts w:ascii="Times New Roman" w:hAnsi="Times New Roman" w:cs="Times New Roman"/>
        </w:rPr>
        <w:t>Several data cleaning steps were required. In the MarketScan dataset, the analysis was restricted to the question “Annual prevalence of diagnosed diabetic eye diseases” and the response “All Diabetic eye diseases.” To reduce complexity and avoid mixing multiple subgroup definitions, the dataset was filtered to state-level records for all ages, both sexes, all races, diabetes as the risk factor, and risk-factor response equal to “Yes.” In the BRFSS dataset, the analysis selected indicators related to adult obesity and no leisure-time physical activity. These indicators were reshaped from long format to wide format so that each state-year record contained both behavioral variables.</w:t>
      </w:r>
    </w:p>
    <w:p w14:paraId="016391B7" w14:textId="3B1DDB6F" w:rsidR="0014655F" w:rsidRPr="005F1BAA" w:rsidRDefault="005F1BAA">
      <w:pPr>
        <w:rPr>
          <w:rFonts w:ascii="Times New Roman" w:hAnsi="Times New Roman" w:cs="Times New Roman"/>
        </w:rPr>
      </w:pPr>
      <w:r w:rsidRPr="005F1BAA">
        <w:rPr>
          <w:rFonts w:ascii="Times New Roman" w:hAnsi="Times New Roman" w:cs="Times New Roman"/>
        </w:rPr>
        <w:t>The main analytical methods were descriptive statistics, visualization, Pearson correlation analysis, and simple linear regression. A bar chart was used to show state-level variation in diagnosed diabetic eye disease prevalence. Scatterplots with fitted regression lines and 95% confidence bands were used to examine ecological associations between BRFSS behavioral indicators and MarketScan diabetic eye disease prevalence. Simple linear regression models were used to estimate the direction and strength of association between adult obesity prevalence, physical inactivity prevalence, and diagnosed diabetic eye disease prevalence at the state-year level. A Pearson correlation heatmap was also created to summarize the relationships among the three main analytic variables.</w:t>
      </w:r>
    </w:p>
    <w:p w14:paraId="38F81907" w14:textId="436FE03C" w:rsidR="00056587" w:rsidRDefault="005F1BAA">
      <w:pPr>
        <w:rPr>
          <w:rFonts w:ascii="Times New Roman" w:hAnsi="Times New Roman" w:cs="Times New Roman"/>
        </w:rPr>
      </w:pPr>
      <w:r w:rsidRPr="005F1BAA">
        <w:rPr>
          <w:rFonts w:ascii="Times New Roman" w:hAnsi="Times New Roman" w:cs="Times New Roman"/>
        </w:rPr>
        <w:t xml:space="preserve">The analysis was conducted in R. The main tools included </w:t>
      </w:r>
      <w:r w:rsidRPr="005F1BAA">
        <w:rPr>
          <w:rFonts w:ascii="Courier New" w:hAnsi="Courier New" w:cs="Courier New"/>
        </w:rPr>
        <w:t>readr</w:t>
      </w:r>
      <w:r w:rsidRPr="005F1BAA">
        <w:rPr>
          <w:rFonts w:ascii="Times New Roman" w:hAnsi="Times New Roman" w:cs="Times New Roman"/>
        </w:rPr>
        <w:t xml:space="preserve"> for data import, </w:t>
      </w:r>
      <w:r w:rsidRPr="005F1BAA">
        <w:rPr>
          <w:rFonts w:ascii="Courier New" w:hAnsi="Courier New" w:cs="Courier New"/>
        </w:rPr>
        <w:t>dplyr</w:t>
      </w:r>
      <w:r w:rsidRPr="005F1BAA">
        <w:rPr>
          <w:rFonts w:ascii="Times New Roman" w:hAnsi="Times New Roman" w:cs="Times New Roman"/>
        </w:rPr>
        <w:t xml:space="preserve"> for </w:t>
      </w:r>
      <w:r w:rsidRPr="005F1BAA">
        <w:rPr>
          <w:rFonts w:ascii="Times New Roman" w:hAnsi="Times New Roman" w:cs="Times New Roman"/>
        </w:rPr>
        <w:lastRenderedPageBreak/>
        <w:t>filtering and data transformation, janitor for cleaning variable names,</w:t>
      </w:r>
      <w:r w:rsidRPr="005F1BAA">
        <w:rPr>
          <w:rFonts w:ascii="Courier New" w:hAnsi="Courier New" w:cs="Courier New"/>
        </w:rPr>
        <w:t xml:space="preserve"> tidyr</w:t>
      </w:r>
      <w:r w:rsidRPr="005F1BAA">
        <w:rPr>
          <w:rFonts w:ascii="Times New Roman" w:hAnsi="Times New Roman" w:cs="Times New Roman"/>
        </w:rPr>
        <w:t xml:space="preserve"> for reshaping data, and </w:t>
      </w:r>
      <w:r w:rsidRPr="005F1BAA">
        <w:rPr>
          <w:rFonts w:ascii="Courier New" w:hAnsi="Courier New" w:cs="Courier New"/>
        </w:rPr>
        <w:t>ggplot2</w:t>
      </w:r>
      <w:r w:rsidRPr="005F1BAA">
        <w:rPr>
          <w:rFonts w:ascii="Times New Roman" w:hAnsi="Times New Roman" w:cs="Times New Roman"/>
        </w:rPr>
        <w:t xml:space="preserve"> for visualization. These tools supported a reproducible workflow that could be included in the supplementary materials for the final project.</w:t>
      </w:r>
    </w:p>
    <w:p w14:paraId="35FA4280" w14:textId="77777777" w:rsidR="00056587" w:rsidRDefault="00056587">
      <w:pPr>
        <w:widowControl/>
        <w:rPr>
          <w:rFonts w:ascii="Times New Roman" w:hAnsi="Times New Roman" w:cs="Times New Roman"/>
        </w:rPr>
      </w:pPr>
      <w:r>
        <w:rPr>
          <w:rFonts w:ascii="Times New Roman" w:hAnsi="Times New Roman" w:cs="Times New Roman"/>
        </w:rPr>
        <w:br w:type="page"/>
      </w:r>
    </w:p>
    <w:p w14:paraId="4F5854F1" w14:textId="3EE30EE8" w:rsidR="00134B37" w:rsidRPr="00056587" w:rsidRDefault="00134B37" w:rsidP="00AB3B6C">
      <w:pPr>
        <w:pStyle w:val="2"/>
      </w:pPr>
      <w:r w:rsidRPr="00056587">
        <w:lastRenderedPageBreak/>
        <w:t>Key Findings</w:t>
      </w:r>
    </w:p>
    <w:p w14:paraId="013FB17F" w14:textId="1C745525" w:rsidR="00134B37" w:rsidRPr="00056587" w:rsidRDefault="00134B37" w:rsidP="00AB3B6C">
      <w:pPr>
        <w:pStyle w:val="3"/>
      </w:pPr>
      <w:r w:rsidRPr="00056587">
        <w:t>Finding 1: Diagnosed diabetics eye disease prevalence varied substantially across states.</w:t>
      </w:r>
    </w:p>
    <w:p w14:paraId="4DC86D43" w14:textId="67A6B2AB" w:rsidR="00134B37" w:rsidRPr="00056587" w:rsidRDefault="00134B37">
      <w:pPr>
        <w:rPr>
          <w:rFonts w:ascii="Times New Roman" w:hAnsi="Times New Roman" w:cs="Times New Roman"/>
        </w:rPr>
      </w:pPr>
      <w:r w:rsidRPr="00056587">
        <w:rPr>
          <w:rFonts w:ascii="Times New Roman" w:hAnsi="Times New Roman" w:cs="Times New Roman"/>
        </w:rPr>
        <w:t>The first major finding was that diagnosed diabetics eye disease prevalence was not uniform across states. After filtering the MarketScan dataset to selected diabetic eye disease measure and broad demographic categories, the bar chart showed visible state-level differences in prevalence. Some states had noticeably higher diagnosed prevalence, while other had lower prevalence.</w:t>
      </w:r>
    </w:p>
    <w:p w14:paraId="5DBB7FE4" w14:textId="77777777" w:rsidR="00AB3B6C" w:rsidRDefault="00056587" w:rsidP="00AB3B6C">
      <w:pPr>
        <w:keepNext/>
      </w:pPr>
      <w:r w:rsidRPr="00056587">
        <w:rPr>
          <w:rFonts w:ascii="Times New Roman" w:hAnsi="Times New Roman" w:cs="Times New Roman"/>
          <w:noProof/>
        </w:rPr>
        <w:drawing>
          <wp:inline distT="0" distB="0" distL="0" distR="0" wp14:anchorId="52676CEA" wp14:editId="3979CC7D">
            <wp:extent cx="5274310" cy="4102100"/>
            <wp:effectExtent l="0" t="0" r="0" b="0"/>
            <wp:docPr id="1403679800"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79800" name="图片 1" descr="图表&#10;&#10;描述已自动生成"/>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4102100"/>
                    </a:xfrm>
                    <a:prstGeom prst="rect">
                      <a:avLst/>
                    </a:prstGeom>
                  </pic:spPr>
                </pic:pic>
              </a:graphicData>
            </a:graphic>
          </wp:inline>
        </w:drawing>
      </w:r>
    </w:p>
    <w:p w14:paraId="6D4F94B0" w14:textId="70752C81" w:rsidR="00134B37" w:rsidRPr="00056587" w:rsidRDefault="00AB3B6C" w:rsidP="00AB3B6C">
      <w:pPr>
        <w:pStyle w:val="af"/>
        <w:rPr>
          <w:rFonts w:ascii="Times New Roman" w:hAnsi="Times New Roman" w:cs="Times New Roman"/>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F87358">
        <w:t>State-Level Prevalence of Diagnosed Diabetic Eye Disease</w:t>
      </w:r>
    </w:p>
    <w:p w14:paraId="4C6777FA" w14:textId="28D6E8FD" w:rsidR="00134B37" w:rsidRPr="00056587" w:rsidRDefault="00134B37">
      <w:pPr>
        <w:rPr>
          <w:rFonts w:ascii="Times New Roman" w:hAnsi="Times New Roman" w:cs="Times New Roman"/>
        </w:rPr>
      </w:pPr>
      <w:r w:rsidRPr="00056587">
        <w:rPr>
          <w:rFonts w:ascii="Times New Roman" w:hAnsi="Times New Roman" w:cs="Times New Roman"/>
        </w:rPr>
        <w:t xml:space="preserve">This finding </w:t>
      </w:r>
      <w:r w:rsidR="009C16F3" w:rsidRPr="00056587">
        <w:rPr>
          <w:rFonts w:ascii="Times New Roman" w:hAnsi="Times New Roman" w:cs="Times New Roman"/>
        </w:rPr>
        <w:t>directly addresses the primary research question by showing that the burden of diagnosed diabetic eye disease differs geographically within the commercial insured population. The result suggests that commercial insured coverage does not produce a uniform pattern of diagnosed disease across the country. Differences also reflect differences in healthcare utilization, coding practices, screening patterns, access to eye care specialists, or characteristics if the commercially insured population in each state.</w:t>
      </w:r>
    </w:p>
    <w:p w14:paraId="36FC706E" w14:textId="6F02FD4D" w:rsidR="009C16F3" w:rsidRPr="00056587" w:rsidRDefault="009C16F3">
      <w:pPr>
        <w:rPr>
          <w:rFonts w:ascii="Times New Roman" w:hAnsi="Times New Roman" w:cs="Times New Roman"/>
        </w:rPr>
      </w:pPr>
      <w:r w:rsidRPr="00056587">
        <w:rPr>
          <w:rFonts w:ascii="Times New Roman" w:hAnsi="Times New Roman" w:cs="Times New Roman"/>
        </w:rPr>
        <w:t xml:space="preserve">The healthcare implication is that state-level surveillance can help identify areas where </w:t>
      </w:r>
      <w:r w:rsidRPr="00056587">
        <w:rPr>
          <w:rFonts w:ascii="Times New Roman" w:hAnsi="Times New Roman" w:cs="Times New Roman"/>
        </w:rPr>
        <w:lastRenderedPageBreak/>
        <w:t>diagnosed diabetics eye disease appears more common. These states may benefit from additional investigation into screening rates, diabetes management programs, or access to ophthalmology and optometry services. However, because the data are aggregate claims summaries, this finding should be interpreted as descriptive variation rather than proof that living in a particular state causes higher risk.</w:t>
      </w:r>
    </w:p>
    <w:p w14:paraId="28F8EEC8" w14:textId="19DC8D01" w:rsidR="009C16F3" w:rsidRPr="00056587" w:rsidRDefault="009C16F3" w:rsidP="00AB3B6C">
      <w:pPr>
        <w:pStyle w:val="3"/>
      </w:pPr>
      <w:r w:rsidRPr="00056587">
        <w:t>Finding 2: State-level obesity showed a statistically significant but weak negative ecological association with diagnosed diabetic eye disease prevalence.</w:t>
      </w:r>
    </w:p>
    <w:p w14:paraId="38908ED5" w14:textId="48D979C0" w:rsidR="009C16F3" w:rsidRPr="00056587" w:rsidRDefault="00056587">
      <w:pPr>
        <w:rPr>
          <w:rFonts w:ascii="Times New Roman" w:hAnsi="Times New Roman" w:cs="Times New Roman"/>
        </w:rPr>
      </w:pPr>
      <w:r w:rsidRPr="00056587">
        <w:rPr>
          <w:rFonts w:ascii="Times New Roman" w:hAnsi="Times New Roman" w:cs="Times New Roman"/>
        </w:rPr>
        <w:t xml:space="preserve">The second finding was that the ecological association between adult obesity prevalence and diagnosed diabetic eye disease prevalence was statistically significant but weak and negative in the merged state-year analysis. A 1 percentage-point increase in state-level adult obesity prevalence was associated with an estimated </w:t>
      </w:r>
      <w:r w:rsidRPr="00056587">
        <w:rPr>
          <w:rFonts w:ascii="Times New Roman" w:hAnsi="Times New Roman" w:cs="Times New Roman"/>
          <w:b/>
          <w:bCs/>
        </w:rPr>
        <w:t>0.124 percentage-point decrease</w:t>
      </w:r>
      <w:r w:rsidRPr="00056587">
        <w:rPr>
          <w:rFonts w:ascii="Times New Roman" w:hAnsi="Times New Roman" w:cs="Times New Roman"/>
        </w:rPr>
        <w:t xml:space="preserve"> in diagnosed diabetic eye disease prevalence. The 95% confidence interval ranged from </w:t>
      </w:r>
      <w:r w:rsidRPr="00056587">
        <w:rPr>
          <w:rFonts w:ascii="Times New Roman" w:hAnsi="Times New Roman" w:cs="Times New Roman"/>
          <w:b/>
          <w:bCs/>
        </w:rPr>
        <w:t>-0.202 to -0.047</w:t>
      </w:r>
      <w:r w:rsidRPr="00056587">
        <w:rPr>
          <w:rFonts w:ascii="Times New Roman" w:hAnsi="Times New Roman" w:cs="Times New Roman"/>
        </w:rPr>
        <w:t xml:space="preserve">, and the p-value was </w:t>
      </w:r>
      <w:r w:rsidRPr="00056587">
        <w:rPr>
          <w:rFonts w:ascii="Times New Roman" w:hAnsi="Times New Roman" w:cs="Times New Roman"/>
          <w:b/>
          <w:bCs/>
        </w:rPr>
        <w:t>0.00199</w:t>
      </w:r>
      <w:r w:rsidRPr="00056587">
        <w:rPr>
          <w:rFonts w:ascii="Times New Roman" w:hAnsi="Times New Roman" w:cs="Times New Roman"/>
        </w:rPr>
        <w:t xml:space="preserve">. The Pearson correlation between adult obesity prevalence and diagnosed diabetic eye disease prevalence was </w:t>
      </w:r>
      <w:r w:rsidRPr="00056587">
        <w:rPr>
          <w:rFonts w:ascii="Times New Roman" w:hAnsi="Times New Roman" w:cs="Times New Roman"/>
          <w:b/>
          <w:bCs/>
        </w:rPr>
        <w:t>r = -0.32</w:t>
      </w:r>
      <w:r w:rsidR="00A044D7" w:rsidRPr="00056587">
        <w:rPr>
          <w:rFonts w:ascii="Times New Roman" w:hAnsi="Times New Roman" w:cs="Times New Roman"/>
        </w:rPr>
        <w:t>.</w:t>
      </w:r>
    </w:p>
    <w:p w14:paraId="000411D9" w14:textId="77777777" w:rsidR="00AB3B6C" w:rsidRDefault="00056587" w:rsidP="00AB3B6C">
      <w:pPr>
        <w:keepNext/>
      </w:pPr>
      <w:r>
        <w:rPr>
          <w:rFonts w:ascii="Times New Roman" w:hAnsi="Times New Roman" w:cs="Times New Roman"/>
          <w:noProof/>
        </w:rPr>
        <w:drawing>
          <wp:inline distT="0" distB="0" distL="0" distR="0" wp14:anchorId="13C6D0CB" wp14:editId="7FBE1007">
            <wp:extent cx="4987636" cy="3741027"/>
            <wp:effectExtent l="0" t="0" r="3810" b="5715"/>
            <wp:docPr id="1081719849" name="图片 2"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19849" name="图片 2" descr="图表, 散点图&#10;&#10;描述已自动生成"/>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90235" cy="3742977"/>
                    </a:xfrm>
                    <a:prstGeom prst="rect">
                      <a:avLst/>
                    </a:prstGeom>
                  </pic:spPr>
                </pic:pic>
              </a:graphicData>
            </a:graphic>
          </wp:inline>
        </w:drawing>
      </w:r>
    </w:p>
    <w:p w14:paraId="065231C1" w14:textId="31F887A7" w:rsidR="00056587" w:rsidRDefault="00AB3B6C" w:rsidP="00AB3B6C">
      <w:pPr>
        <w:pStyle w:val="af"/>
        <w:rPr>
          <w:rFonts w:ascii="Times New Roman" w:hAnsi="Times New Roman" w:cs="Times New Roman"/>
        </w:rPr>
      </w:pPr>
      <w:r>
        <w:t xml:space="preserve">Figure </w:t>
      </w:r>
      <w:r>
        <w:fldChar w:fldCharType="begin"/>
      </w:r>
      <w:r>
        <w:instrText xml:space="preserve"> SEQ Figure \* ARABIC </w:instrText>
      </w:r>
      <w:r>
        <w:fldChar w:fldCharType="separate"/>
      </w:r>
      <w:r>
        <w:rPr>
          <w:noProof/>
        </w:rPr>
        <w:t>2</w:t>
      </w:r>
      <w:r>
        <w:fldChar w:fldCharType="end"/>
      </w:r>
      <w:r w:rsidRPr="006E4ED6">
        <w:t>. State-Level Adult Obesity and Diagnosed Diabetic Eye Disease Prevalence</w:t>
      </w:r>
    </w:p>
    <w:p w14:paraId="32797081" w14:textId="119C8FEC" w:rsidR="00A044D7" w:rsidRPr="00056587" w:rsidRDefault="00056587">
      <w:pPr>
        <w:rPr>
          <w:rFonts w:ascii="Times New Roman" w:hAnsi="Times New Roman" w:cs="Times New Roman"/>
        </w:rPr>
      </w:pPr>
      <w:r w:rsidRPr="00056587">
        <w:rPr>
          <w:rFonts w:ascii="Times New Roman" w:hAnsi="Times New Roman" w:cs="Times New Roman"/>
        </w:rPr>
        <w:t xml:space="preserve">This finding should be interpreted carefully. Obesity is an important risk factor for type 2 diabetes and related cardiometabolic conditions, so a simple expectation might be that states </w:t>
      </w:r>
      <w:r w:rsidRPr="00056587">
        <w:rPr>
          <w:rFonts w:ascii="Times New Roman" w:hAnsi="Times New Roman" w:cs="Times New Roman"/>
        </w:rPr>
        <w:lastRenderedPageBreak/>
        <w:t>with higher obesity prevalence would also show higher diagnosed diabetic eye disease prevalence. However, the observed negative association likely reflects the limitations of ecological analysis and the mismatch between the two sources. The MarketScan dataset represents a commercially insured population, while the BRFSS obesity measure represents a broader state-level adult population. These two populations are not identical.</w:t>
      </w:r>
    </w:p>
    <w:p w14:paraId="734DB310" w14:textId="69345749" w:rsidR="00A044D7" w:rsidRPr="00056587" w:rsidRDefault="00056587">
      <w:pPr>
        <w:rPr>
          <w:rFonts w:ascii="Times New Roman" w:hAnsi="Times New Roman" w:cs="Times New Roman"/>
        </w:rPr>
      </w:pPr>
      <w:r w:rsidRPr="00056587">
        <w:rPr>
          <w:rFonts w:ascii="Times New Roman" w:hAnsi="Times New Roman" w:cs="Times New Roman"/>
        </w:rPr>
        <w:t xml:space="preserve">In addition, diagnosed diabetic eye disease prevalence in claims data depends not only on disease occurrence but also on diagnosis, screening, coding, and healthcare utilization. A state with better eye care access or more frequent screening might have higher diagnosed prevalence because more cases are detected. A state with worse access may have lower diagnosed prevalence even if the true underlying disease burden is high. Therefore, the weak negative association should not be interpreted as evidence that obesity protects against diabetic eye disease. Rather, it suggests that state-level obesity prevalence alone was not a strong ecological explanation for geographic variation in diagnosed diabetic eye disease in </w:t>
      </w:r>
      <w:r w:rsidRPr="00056587">
        <w:rPr>
          <w:rFonts w:ascii="Times New Roman" w:hAnsi="Times New Roman" w:cs="Times New Roman"/>
        </w:rPr>
        <w:t>this commercially insured claim</w:t>
      </w:r>
      <w:r w:rsidRPr="00056587">
        <w:rPr>
          <w:rFonts w:ascii="Times New Roman" w:hAnsi="Times New Roman" w:cs="Times New Roman"/>
        </w:rPr>
        <w:t xml:space="preserve"> dataset</w:t>
      </w:r>
      <w:r w:rsidR="00103668" w:rsidRPr="00056587">
        <w:rPr>
          <w:rFonts w:ascii="Times New Roman" w:hAnsi="Times New Roman" w:cs="Times New Roman"/>
        </w:rPr>
        <w:t>.</w:t>
      </w:r>
    </w:p>
    <w:p w14:paraId="0BE731CA" w14:textId="5061DEB9" w:rsidR="00056587" w:rsidRDefault="00056587" w:rsidP="00056587">
      <w:pPr>
        <w:rPr>
          <w:rFonts w:ascii="Times New Roman" w:hAnsi="Times New Roman" w:cs="Times New Roman"/>
        </w:rPr>
      </w:pPr>
      <w:r w:rsidRPr="00056587">
        <w:rPr>
          <w:rFonts w:ascii="Times New Roman" w:hAnsi="Times New Roman" w:cs="Times New Roman"/>
        </w:rPr>
        <w:t>The healthcare implication is that broad behavioral indicators may be insufficient to explain diagnosed eye disease patterns without additional measures of diabetes prevalence, glycemic control, screening access, insurance plan design, provider availability, and healthcare utilization. Future work should incorporate more specific diabetes-related and access-related variables</w:t>
      </w:r>
      <w:r>
        <w:rPr>
          <w:rFonts w:ascii="Times New Roman" w:hAnsi="Times New Roman" w:cs="Times New Roman"/>
        </w:rPr>
        <w:t>.</w:t>
      </w:r>
    </w:p>
    <w:p w14:paraId="672E721A" w14:textId="2CF84C47" w:rsidR="00103668" w:rsidRPr="00056587" w:rsidRDefault="00103668" w:rsidP="00AB3B6C">
      <w:pPr>
        <w:pStyle w:val="3"/>
      </w:pPr>
      <w:r w:rsidRPr="00056587">
        <w:t xml:space="preserve">Finding 3: Physical inactivity also showed a statistically significant but weak negative ecological </w:t>
      </w:r>
      <w:r w:rsidR="00AB4F7D" w:rsidRPr="00056587">
        <w:t>association with diagnosed diabetic eye disease prevalence.</w:t>
      </w:r>
    </w:p>
    <w:p w14:paraId="24B68FCA" w14:textId="0FC05830" w:rsidR="00AB4F7D" w:rsidRPr="00056587" w:rsidRDefault="00056587">
      <w:pPr>
        <w:rPr>
          <w:rFonts w:ascii="Times New Roman" w:hAnsi="Times New Roman" w:cs="Times New Roman"/>
        </w:rPr>
      </w:pPr>
      <w:r w:rsidRPr="00056587">
        <w:rPr>
          <w:rFonts w:ascii="Times New Roman" w:hAnsi="Times New Roman" w:cs="Times New Roman"/>
        </w:rPr>
        <w:t xml:space="preserve">The third finding was </w:t>
      </w:r>
      <w:r w:rsidRPr="00056587">
        <w:rPr>
          <w:rFonts w:ascii="Times New Roman" w:hAnsi="Times New Roman" w:cs="Times New Roman"/>
        </w:rPr>
        <w:t>like</w:t>
      </w:r>
      <w:r w:rsidRPr="00056587">
        <w:rPr>
          <w:rFonts w:ascii="Times New Roman" w:hAnsi="Times New Roman" w:cs="Times New Roman"/>
        </w:rPr>
        <w:t xml:space="preserve"> the obesity result. State-level physical inactivity prevalence showed a statistically significant but weak negative association with diagnosed diabetic eye disease prevalence. A 1 percentage-point increase in state-level physical inactivity prevalence was associated with an estimated </w:t>
      </w:r>
      <w:r w:rsidRPr="00056587">
        <w:rPr>
          <w:rFonts w:ascii="Times New Roman" w:hAnsi="Times New Roman" w:cs="Times New Roman"/>
          <w:b/>
          <w:bCs/>
        </w:rPr>
        <w:t>0.143 percentage-point decrease</w:t>
      </w:r>
      <w:r w:rsidRPr="00056587">
        <w:rPr>
          <w:rFonts w:ascii="Times New Roman" w:hAnsi="Times New Roman" w:cs="Times New Roman"/>
        </w:rPr>
        <w:t xml:space="preserve"> in diagnosed diabetic eye disease prevalence. The 95% confidence interval ranged from </w:t>
      </w:r>
      <w:r w:rsidRPr="00056587">
        <w:rPr>
          <w:rFonts w:ascii="Times New Roman" w:hAnsi="Times New Roman" w:cs="Times New Roman"/>
          <w:b/>
          <w:bCs/>
        </w:rPr>
        <w:t>-0.218 to -0.068</w:t>
      </w:r>
      <w:r w:rsidRPr="00056587">
        <w:rPr>
          <w:rFonts w:ascii="Times New Roman" w:hAnsi="Times New Roman" w:cs="Times New Roman"/>
        </w:rPr>
        <w:t xml:space="preserve">, and the p-value was </w:t>
      </w:r>
      <w:r w:rsidRPr="00056587">
        <w:rPr>
          <w:rFonts w:ascii="Times New Roman" w:hAnsi="Times New Roman" w:cs="Times New Roman"/>
          <w:b/>
          <w:bCs/>
        </w:rPr>
        <w:t>less than 0.001</w:t>
      </w:r>
      <w:r w:rsidRPr="00056587">
        <w:rPr>
          <w:rFonts w:ascii="Times New Roman" w:hAnsi="Times New Roman" w:cs="Times New Roman"/>
        </w:rPr>
        <w:t xml:space="preserve">. The Pearson correlation between physical inactivity prevalence and diagnosed diabetic eye disease prevalence was </w:t>
      </w:r>
      <w:r w:rsidRPr="00056587">
        <w:rPr>
          <w:rFonts w:ascii="Times New Roman" w:hAnsi="Times New Roman" w:cs="Times New Roman"/>
          <w:b/>
          <w:bCs/>
        </w:rPr>
        <w:t>r = -0.38</w:t>
      </w:r>
      <w:r w:rsidRPr="00056587">
        <w:rPr>
          <w:rFonts w:ascii="Times New Roman" w:hAnsi="Times New Roman" w:cs="Times New Roman"/>
        </w:rPr>
        <w:t>.</w:t>
      </w:r>
    </w:p>
    <w:p w14:paraId="02CE3B46" w14:textId="77777777" w:rsidR="00AB3B6C" w:rsidRDefault="00056587" w:rsidP="00AB3B6C">
      <w:pPr>
        <w:keepNext/>
      </w:pPr>
      <w:r>
        <w:rPr>
          <w:rFonts w:ascii="Times New Roman" w:hAnsi="Times New Roman" w:cs="Times New Roman"/>
          <w:noProof/>
        </w:rPr>
        <w:lastRenderedPageBreak/>
        <w:drawing>
          <wp:inline distT="0" distB="0" distL="0" distR="0" wp14:anchorId="45F3A9CF" wp14:editId="07C08514">
            <wp:extent cx="5015346" cy="3761812"/>
            <wp:effectExtent l="0" t="0" r="1270" b="0"/>
            <wp:docPr id="570515539" name="图片 3"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15539" name="图片 3" descr="图表, 散点图&#10;&#10;描述已自动生成"/>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18735" cy="3764354"/>
                    </a:xfrm>
                    <a:prstGeom prst="rect">
                      <a:avLst/>
                    </a:prstGeom>
                  </pic:spPr>
                </pic:pic>
              </a:graphicData>
            </a:graphic>
          </wp:inline>
        </w:drawing>
      </w:r>
    </w:p>
    <w:p w14:paraId="36F4F1A9" w14:textId="63084F42" w:rsidR="00AB4F7D" w:rsidRPr="00056587" w:rsidRDefault="00AB3B6C" w:rsidP="00AB3B6C">
      <w:pPr>
        <w:pStyle w:val="af"/>
        <w:rPr>
          <w:rFonts w:ascii="Times New Roman" w:hAnsi="Times New Roman" w:cs="Times New Roman"/>
        </w:rPr>
      </w:pPr>
      <w:r>
        <w:t xml:space="preserve">Figure </w:t>
      </w:r>
      <w:r>
        <w:fldChar w:fldCharType="begin"/>
      </w:r>
      <w:r>
        <w:instrText xml:space="preserve"> SEQ Figure \* ARABIC </w:instrText>
      </w:r>
      <w:r>
        <w:fldChar w:fldCharType="separate"/>
      </w:r>
      <w:r>
        <w:rPr>
          <w:noProof/>
        </w:rPr>
        <w:t>3</w:t>
      </w:r>
      <w:r>
        <w:fldChar w:fldCharType="end"/>
      </w:r>
      <w:r w:rsidRPr="002F0D36">
        <w:t>. State-Level Physical Inactivity and Diagnosed Diabetic Eye Disease Prevalence</w:t>
      </w:r>
    </w:p>
    <w:p w14:paraId="0912A954" w14:textId="1DB78706" w:rsidR="00AB4F7D" w:rsidRPr="00056587" w:rsidRDefault="00056587">
      <w:pPr>
        <w:rPr>
          <w:rFonts w:ascii="Times New Roman" w:hAnsi="Times New Roman" w:cs="Times New Roman"/>
        </w:rPr>
      </w:pPr>
      <w:r w:rsidRPr="00056587">
        <w:rPr>
          <w:rFonts w:ascii="Times New Roman" w:hAnsi="Times New Roman" w:cs="Times New Roman"/>
        </w:rPr>
        <w:t>This result again highlights the difference between individual-level risk and state-level ecological correlation. Physical inactivity is relevant to diabetes prevention and management, but the BRFSS measure used in this project was a state-level self-reported behavioral indicator. It was not measured among the same individuals represented in the MarketScan claims data. Therefore, this finding cannot be used to conclude that inactive individuals had lower risk of diabetic eye disease. Instead, it suggests that the state-level behavioral environment, measured only by physical inactivity prevalence, did not explain much of the geographic variation in diagnosed diabetic eye disease prevalence.</w:t>
      </w:r>
    </w:p>
    <w:p w14:paraId="715DFE32" w14:textId="44BE91E6" w:rsidR="00AB4F7D" w:rsidRPr="00056587" w:rsidRDefault="00056587">
      <w:pPr>
        <w:rPr>
          <w:rFonts w:ascii="Times New Roman" w:hAnsi="Times New Roman" w:cs="Times New Roman"/>
        </w:rPr>
      </w:pPr>
      <w:r w:rsidRPr="00056587">
        <w:rPr>
          <w:rFonts w:ascii="Times New Roman" w:hAnsi="Times New Roman" w:cs="Times New Roman"/>
        </w:rPr>
        <w:t>The result also demonstrates an important methodological lesson. Combining public surveillance datasets can be useful for generating hypotheses, but merged aggregate data can produce patterns that are difficult to interpret. The ecological association may be influenced by differences in population composition, healthcare access, screening intensity, coding practices, and commercial insurance coverage. For example, states with lower physical inactivity may still have older commercially insured diabetic populations or stronger eye disease detection systems, leading to higher diagnosed prevalence.</w:t>
      </w:r>
    </w:p>
    <w:p w14:paraId="2487076E" w14:textId="1072C078" w:rsidR="0055060C" w:rsidRDefault="00056587">
      <w:pPr>
        <w:rPr>
          <w:rFonts w:ascii="Times New Roman" w:hAnsi="Times New Roman" w:cs="Times New Roman"/>
        </w:rPr>
      </w:pPr>
      <w:r w:rsidRPr="00056587">
        <w:rPr>
          <w:rFonts w:ascii="Times New Roman" w:hAnsi="Times New Roman" w:cs="Times New Roman"/>
        </w:rPr>
        <w:t>The healthcare implication is that interventions should not be designed based only on these ecological correlations. Instead, the findings support the need for more detailed data that include individual diabetes status, duration of diabetes, glycemic control, blood pressure control, smoking status, eye exam history, and social determinants of health.</w:t>
      </w:r>
    </w:p>
    <w:p w14:paraId="113426C6" w14:textId="188AF20F" w:rsidR="00056587" w:rsidRDefault="00056587" w:rsidP="00AB3B6C">
      <w:pPr>
        <w:pStyle w:val="3"/>
      </w:pPr>
      <w:r w:rsidRPr="00056587">
        <w:lastRenderedPageBreak/>
        <w:t xml:space="preserve">Finding 4: The correlation heatmap showed clustering between obesity and physical </w:t>
      </w:r>
      <w:r w:rsidR="00AB3B6C" w:rsidRPr="00056587">
        <w:t>inactivity but</w:t>
      </w:r>
      <w:r w:rsidRPr="00056587">
        <w:t xml:space="preserve"> limited explanatory value for diabetic eye disease prevalence</w:t>
      </w:r>
      <w:r>
        <w:t>.</w:t>
      </w:r>
    </w:p>
    <w:p w14:paraId="7B8D88F1" w14:textId="178866F7" w:rsidR="00056587" w:rsidRDefault="00056587" w:rsidP="00056587">
      <w:pPr>
        <w:rPr>
          <w:rFonts w:ascii="Times New Roman" w:hAnsi="Times New Roman" w:cs="Times New Roman"/>
        </w:rPr>
      </w:pPr>
      <w:r w:rsidRPr="00056587">
        <w:rPr>
          <w:rFonts w:ascii="Times New Roman" w:hAnsi="Times New Roman" w:cs="Times New Roman"/>
        </w:rPr>
        <w:t>The Pearson correlation heatmap summarized the relationships among diagnosed diabetic eye disease prevalence, adult obesity prevalence, and physical inactivity prevalence. Diagnosed diabetic eye disease prevalence was negatively correlated with adult obesity prevalence (</w:t>
      </w:r>
      <w:r w:rsidRPr="00056587">
        <w:rPr>
          <w:rFonts w:ascii="Times New Roman" w:hAnsi="Times New Roman" w:cs="Times New Roman"/>
          <w:b/>
          <w:bCs/>
        </w:rPr>
        <w:t>r = -0.32</w:t>
      </w:r>
      <w:r w:rsidRPr="00056587">
        <w:rPr>
          <w:rFonts w:ascii="Times New Roman" w:hAnsi="Times New Roman" w:cs="Times New Roman"/>
        </w:rPr>
        <w:t>) and physical inactivity prevalence (</w:t>
      </w:r>
      <w:r w:rsidRPr="00056587">
        <w:rPr>
          <w:rFonts w:ascii="Times New Roman" w:hAnsi="Times New Roman" w:cs="Times New Roman"/>
          <w:b/>
          <w:bCs/>
        </w:rPr>
        <w:t>r = -0.38</w:t>
      </w:r>
      <w:r w:rsidRPr="00056587">
        <w:rPr>
          <w:rFonts w:ascii="Times New Roman" w:hAnsi="Times New Roman" w:cs="Times New Roman"/>
        </w:rPr>
        <w:t>). Adult obesity and physical inactivity were positively correlated with each other (</w:t>
      </w:r>
      <w:r w:rsidRPr="00056587">
        <w:rPr>
          <w:rFonts w:ascii="Times New Roman" w:hAnsi="Times New Roman" w:cs="Times New Roman"/>
          <w:b/>
          <w:bCs/>
        </w:rPr>
        <w:t>r = 0.69</w:t>
      </w:r>
      <w:r w:rsidRPr="00056587">
        <w:rPr>
          <w:rFonts w:ascii="Times New Roman" w:hAnsi="Times New Roman" w:cs="Times New Roman"/>
        </w:rPr>
        <w:t>), suggesting that these two behavioral risk indicators tended to cluster together geographically.</w:t>
      </w:r>
    </w:p>
    <w:p w14:paraId="346A128B" w14:textId="77777777" w:rsidR="00AB3B6C" w:rsidRDefault="00056587" w:rsidP="00AB3B6C">
      <w:pPr>
        <w:keepNext/>
      </w:pPr>
      <w:r>
        <w:rPr>
          <w:rFonts w:ascii="Times New Roman" w:hAnsi="Times New Roman" w:cs="Times New Roman"/>
          <w:noProof/>
        </w:rPr>
        <w:drawing>
          <wp:inline distT="0" distB="0" distL="0" distR="0" wp14:anchorId="79D3AA5D" wp14:editId="163B9B46">
            <wp:extent cx="5274310" cy="3956050"/>
            <wp:effectExtent l="0" t="0" r="0" b="6350"/>
            <wp:docPr id="1018316771" name="图片 4" descr="图表, 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16771" name="图片 4" descr="图表, 树状图&#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2CB0A642" w14:textId="64C2064C" w:rsidR="00056587" w:rsidRPr="00056587" w:rsidRDefault="00AB3B6C" w:rsidP="00AB3B6C">
      <w:pPr>
        <w:pStyle w:val="af"/>
        <w:rPr>
          <w:rFonts w:ascii="Times New Roman" w:hAnsi="Times New Roman" w:cs="Times New Roman"/>
        </w:rPr>
      </w:pPr>
      <w:r>
        <w:t xml:space="preserve">Figure </w:t>
      </w:r>
      <w:r>
        <w:fldChar w:fldCharType="begin"/>
      </w:r>
      <w:r>
        <w:instrText xml:space="preserve"> SEQ Figure \* ARABIC </w:instrText>
      </w:r>
      <w:r>
        <w:fldChar w:fldCharType="separate"/>
      </w:r>
      <w:r>
        <w:rPr>
          <w:noProof/>
        </w:rPr>
        <w:t>4</w:t>
      </w:r>
      <w:r>
        <w:fldChar w:fldCharType="end"/>
      </w:r>
      <w:r w:rsidRPr="000511B3">
        <w:t>. Pearson Correlation Heatmap of Diabetic Eye Disease and Behavioral Indicators</w:t>
      </w:r>
    </w:p>
    <w:p w14:paraId="7FCB920A" w14:textId="66AA01F3" w:rsidR="00056587" w:rsidRDefault="00056587" w:rsidP="00056587">
      <w:pPr>
        <w:rPr>
          <w:rFonts w:ascii="Times New Roman" w:hAnsi="Times New Roman" w:cs="Times New Roman"/>
        </w:rPr>
      </w:pPr>
      <w:r w:rsidRPr="00056587">
        <w:rPr>
          <w:rFonts w:ascii="Times New Roman" w:hAnsi="Times New Roman" w:cs="Times New Roman"/>
        </w:rPr>
        <w:t xml:space="preserve">This finding supports the interpretation that broad state-level behavioral indicators alone did not explain much of the geographic variation in diagnosed diabetic eye disease prevalence among the commercially insured population. The positive correlation between obesity and physical inactivity was expected because both indicators reflect related behavioral and cardiometabolic risk environments. However, their negative correlations with diagnosed diabetic eye disease prevalence show why ecological findings must be interpreted cautiously. </w:t>
      </w:r>
      <w:r w:rsidRPr="00056587">
        <w:rPr>
          <w:rFonts w:ascii="Times New Roman" w:hAnsi="Times New Roman" w:cs="Times New Roman"/>
        </w:rPr>
        <w:lastRenderedPageBreak/>
        <w:t>The outcome was claims-based diagnosed prevalence, not true disease prevalence, and diagnosis patterns may depend on healthcare access, screening, coding, and insurance utilization.</w:t>
      </w:r>
    </w:p>
    <w:p w14:paraId="162C65E3" w14:textId="77777777" w:rsidR="00056587" w:rsidRPr="00056587" w:rsidRDefault="00056587" w:rsidP="00056587">
      <w:pPr>
        <w:widowControl/>
        <w:rPr>
          <w:rFonts w:ascii="Times New Roman" w:hAnsi="Times New Roman" w:cs="Times New Roman"/>
        </w:rPr>
      </w:pPr>
    </w:p>
    <w:p w14:paraId="45094F4D" w14:textId="77777777" w:rsidR="00056587" w:rsidRPr="00056587" w:rsidRDefault="00056587">
      <w:pPr>
        <w:rPr>
          <w:rFonts w:ascii="Times New Roman" w:hAnsi="Times New Roman" w:cs="Times New Roman"/>
        </w:rPr>
      </w:pPr>
    </w:p>
    <w:p w14:paraId="64F9666A" w14:textId="4D6BF836" w:rsidR="00056587" w:rsidRDefault="00056587">
      <w:pPr>
        <w:widowControl/>
      </w:pPr>
      <w:r>
        <w:br w:type="page"/>
      </w:r>
    </w:p>
    <w:p w14:paraId="3A860A86" w14:textId="2CB29525" w:rsidR="0055060C" w:rsidRPr="00056587" w:rsidRDefault="0055060C" w:rsidP="00AB3B6C">
      <w:pPr>
        <w:pStyle w:val="2"/>
      </w:pPr>
      <w:r w:rsidRPr="00056587">
        <w:lastRenderedPageBreak/>
        <w:t>Data Gaps and Future work</w:t>
      </w:r>
    </w:p>
    <w:p w14:paraId="3F5C48B2" w14:textId="77777777" w:rsidR="00C21EAF" w:rsidRPr="00056587" w:rsidRDefault="00275FC0" w:rsidP="00275FC0">
      <w:pPr>
        <w:tabs>
          <w:tab w:val="left" w:pos="2996"/>
        </w:tabs>
        <w:rPr>
          <w:rFonts w:ascii="Times New Roman" w:hAnsi="Times New Roman" w:cs="Times New Roman"/>
        </w:rPr>
      </w:pPr>
      <w:r w:rsidRPr="00056587">
        <w:rPr>
          <w:rFonts w:ascii="Times New Roman" w:hAnsi="Times New Roman" w:cs="Times New Roman"/>
        </w:rPr>
        <w:t>This project had several important data gaps.</w:t>
      </w:r>
      <w:r w:rsidR="00FE7C13" w:rsidRPr="00056587">
        <w:rPr>
          <w:rFonts w:ascii="Times New Roman" w:hAnsi="Times New Roman" w:cs="Times New Roman"/>
        </w:rPr>
        <w:t xml:space="preserve"> First, the MarketScan dataset was an aggregate claims summary dataset rather than a patient-level dataset. As a result, it was not possible to conduct individual</w:t>
      </w:r>
      <w:r w:rsidR="00C21EAF" w:rsidRPr="00056587">
        <w:rPr>
          <w:rFonts w:ascii="Times New Roman" w:hAnsi="Times New Roman" w:cs="Times New Roman"/>
        </w:rPr>
        <w:t>-level modeling, estimate adjusted risk ratios, or determine whether specific individuals with hypertension, tobacco use, obesity, or physical inactivity had higher risk of diagnosed diabetic eye disease.</w:t>
      </w:r>
    </w:p>
    <w:p w14:paraId="28E02BFA" w14:textId="22DBF012" w:rsidR="00275FC0" w:rsidRPr="00056587" w:rsidRDefault="00C21EAF" w:rsidP="00C21EAF">
      <w:pPr>
        <w:rPr>
          <w:rFonts w:ascii="Times New Roman" w:hAnsi="Times New Roman" w:cs="Times New Roman"/>
        </w:rPr>
      </w:pPr>
      <w:r w:rsidRPr="00056587">
        <w:rPr>
          <w:rFonts w:ascii="Times New Roman" w:hAnsi="Times New Roman" w:cs="Times New Roman"/>
        </w:rPr>
        <w:t>Second, the MarketScan data represented commercially insured individuals and their dependents. The limits generalizability to people covered by Medicaid, Medicare, uninsured populations, and other groups with different healthcare access patterns. Because diabetic eye disease risk and screening access may differ across insurance types, future research should compare commercially insured populations with Medicaid and Medicare populations.</w:t>
      </w:r>
    </w:p>
    <w:p w14:paraId="57E7B120" w14:textId="1A4C5CD9" w:rsidR="00C21EAF" w:rsidRPr="00056587" w:rsidRDefault="00C21EAF" w:rsidP="00C21EAF">
      <w:pPr>
        <w:rPr>
          <w:rFonts w:ascii="Times New Roman" w:hAnsi="Times New Roman" w:cs="Times New Roman"/>
        </w:rPr>
      </w:pPr>
      <w:r w:rsidRPr="00056587">
        <w:rPr>
          <w:rFonts w:ascii="Times New Roman" w:hAnsi="Times New Roman" w:cs="Times New Roman"/>
        </w:rPr>
        <w:t>Third, The BRFSS supplementary dataset was based on self-reported survey data. Self-reported obesity and physical activity may include measurement error or reporting bias. In addition, the BRFSS population and MarketScan commercially insured population were not the same individuals, so the merged analysis was ecological rather than individual-level.</w:t>
      </w:r>
    </w:p>
    <w:p w14:paraId="04C43A0B" w14:textId="77777777" w:rsidR="00AB3B6C" w:rsidRDefault="00056587" w:rsidP="00C21EAF">
      <w:pPr>
        <w:rPr>
          <w:rFonts w:ascii="宋体" w:eastAsia="宋体" w:hAnsi="宋体" w:cs="宋体"/>
          <w:kern w:val="0"/>
          <w:sz w:val="24"/>
          <w14:ligatures w14:val="none"/>
        </w:rPr>
      </w:pPr>
      <w:r w:rsidRPr="00056587">
        <w:rPr>
          <w:rFonts w:ascii="Times New Roman" w:hAnsi="Times New Roman" w:cs="Times New Roman"/>
        </w:rPr>
        <w:t>Fourth, the</w:t>
      </w:r>
      <w:r w:rsidRPr="00056587">
        <w:rPr>
          <w:rFonts w:ascii="Times New Roman" w:hAnsi="Times New Roman" w:cs="Times New Roman"/>
        </w:rPr>
        <w:t xml:space="preserve"> project lacked important clinical and access-related variables. Data on HbA1c, duration of diabetes, blood pressure control, medication use, eye exam frequency, ophthalmologist availability, rurality, income, and neighborhood deprivation would strengthen the analysis. Future work could use multilevel modeling to separate individual-level risk factors from state-level or county-level contextual factors.</w:t>
      </w:r>
    </w:p>
    <w:p w14:paraId="2BAF4FB2" w14:textId="18F4DCB8" w:rsidR="00C21EAF" w:rsidRPr="00AB3B6C" w:rsidRDefault="00AB3B6C" w:rsidP="00C21EAF">
      <w:pPr>
        <w:rPr>
          <w:rFonts w:ascii="Times New Roman" w:hAnsi="Times New Roman" w:cs="Times New Roman"/>
        </w:rPr>
      </w:pPr>
      <w:r w:rsidRPr="00AB3B6C">
        <w:rPr>
          <w:rFonts w:ascii="Times New Roman" w:hAnsi="Times New Roman" w:cs="Times New Roman"/>
        </w:rPr>
        <w:t>Future research could also compare claims-based U.S. surveillance data with international aging cohort data, such as the China Health and Retirement Longitudinal Study. Although CHARLS is not directly comparable to the U.S. commercially insured MarketScan population, it could support future cross-national exploratory work on diabetes, visual impairment, chronic disease burden, and aging-related health disparities.</w:t>
      </w:r>
    </w:p>
    <w:p w14:paraId="62730B28" w14:textId="6EDC1A20" w:rsidR="00056587" w:rsidRDefault="00056587">
      <w:pPr>
        <w:widowControl/>
        <w:rPr>
          <w:rFonts w:ascii="Times New Roman" w:hAnsi="Times New Roman" w:cs="Times New Roman"/>
        </w:rPr>
      </w:pPr>
      <w:r>
        <w:rPr>
          <w:rFonts w:ascii="Times New Roman" w:hAnsi="Times New Roman" w:cs="Times New Roman"/>
        </w:rPr>
        <w:br w:type="page"/>
      </w:r>
    </w:p>
    <w:p w14:paraId="06EBC9C1" w14:textId="4B8F50F7" w:rsidR="00275FC0" w:rsidRPr="00056587" w:rsidRDefault="00E3172A" w:rsidP="00275FC0">
      <w:pPr>
        <w:tabs>
          <w:tab w:val="left" w:pos="2996"/>
        </w:tabs>
        <w:rPr>
          <w:rFonts w:ascii="Times New Roman" w:hAnsi="Times New Roman" w:cs="Times New Roman"/>
          <w:b/>
          <w:bCs/>
          <w:u w:val="single"/>
        </w:rPr>
      </w:pPr>
      <w:r w:rsidRPr="00056587">
        <w:rPr>
          <w:rFonts w:ascii="Times New Roman" w:hAnsi="Times New Roman" w:cs="Times New Roman"/>
          <w:b/>
          <w:bCs/>
          <w:u w:val="single"/>
        </w:rPr>
        <w:lastRenderedPageBreak/>
        <w:t>Conclusion</w:t>
      </w:r>
    </w:p>
    <w:p w14:paraId="35A95FF1" w14:textId="682A7904" w:rsidR="00E3172A" w:rsidRPr="00056587" w:rsidRDefault="00E3172A" w:rsidP="00275FC0">
      <w:pPr>
        <w:tabs>
          <w:tab w:val="left" w:pos="2996"/>
        </w:tabs>
        <w:rPr>
          <w:rFonts w:ascii="Times New Roman" w:hAnsi="Times New Roman" w:cs="Times New Roman"/>
        </w:rPr>
      </w:pPr>
      <w:r w:rsidRPr="00056587">
        <w:rPr>
          <w:rFonts w:ascii="Times New Roman" w:hAnsi="Times New Roman" w:cs="Times New Roman"/>
        </w:rPr>
        <w:t>This project examined variation in diagnosed diabetic eye disease across risk-factor subgroups and geographic areas in a commercially insured population. Using the CDC Vision and Eye Health Surveillance System MarketScan Commercial Medical Insurance dataset as the primary source and the CDC BRFSS Nutrition, Physical Activity, and dataset as a supplementary source, the analysis describe state-level variation in diagnosed diabetic eye disease prevalence and explored ecological associations with obesity and physical inactivity.</w:t>
      </w:r>
    </w:p>
    <w:p w14:paraId="5F581641" w14:textId="6A6EEE23" w:rsidR="00E3172A" w:rsidRPr="00056587" w:rsidRDefault="00E3172A" w:rsidP="00275FC0">
      <w:pPr>
        <w:tabs>
          <w:tab w:val="left" w:pos="2996"/>
        </w:tabs>
        <w:rPr>
          <w:rFonts w:ascii="Times New Roman" w:hAnsi="Times New Roman" w:cs="Times New Roman"/>
        </w:rPr>
      </w:pPr>
      <w:r w:rsidRPr="00056587">
        <w:rPr>
          <w:rFonts w:ascii="Times New Roman" w:hAnsi="Times New Roman" w:cs="Times New Roman"/>
        </w:rPr>
        <w:t xml:space="preserve">The main contribution of the project is that is shows how claims-based surveillance data can be used to describe variation on diagnosed diabetic eye disease among </w:t>
      </w:r>
      <w:r w:rsidR="007D7D08" w:rsidRPr="00056587">
        <w:rPr>
          <w:rFonts w:ascii="Times New Roman" w:hAnsi="Times New Roman" w:cs="Times New Roman"/>
        </w:rPr>
        <w:t>commercially</w:t>
      </w:r>
      <w:r w:rsidRPr="00056587">
        <w:rPr>
          <w:rFonts w:ascii="Times New Roman" w:hAnsi="Times New Roman" w:cs="Times New Roman"/>
        </w:rPr>
        <w:t xml:space="preserve"> insured populations. The findings suggested substantial state-level </w:t>
      </w:r>
      <w:r w:rsidR="007D7D08" w:rsidRPr="00056587">
        <w:rPr>
          <w:rFonts w:ascii="Times New Roman" w:hAnsi="Times New Roman" w:cs="Times New Roman"/>
        </w:rPr>
        <w:t>variations</w:t>
      </w:r>
      <w:r w:rsidRPr="00056587">
        <w:rPr>
          <w:rFonts w:ascii="Times New Roman" w:hAnsi="Times New Roman" w:cs="Times New Roman"/>
        </w:rPr>
        <w:t xml:space="preserve"> in diagnosed prevalence. However, state-level obesity and physical inactivity showed weak negative ecological associations with diagnosed diabetics eye disease pre</w:t>
      </w:r>
      <w:r w:rsidR="007D7D08" w:rsidRPr="00056587">
        <w:rPr>
          <w:rFonts w:ascii="Times New Roman" w:hAnsi="Times New Roman" w:cs="Times New Roman"/>
        </w:rPr>
        <w:t>valence, suggesting that these behavioral indicators alone did not explain geographic variation in the claims-based outcome.</w:t>
      </w:r>
    </w:p>
    <w:p w14:paraId="65253E64" w14:textId="09B39566" w:rsidR="007D7D08" w:rsidRPr="00056587" w:rsidRDefault="007D7D08" w:rsidP="00275FC0">
      <w:pPr>
        <w:tabs>
          <w:tab w:val="left" w:pos="2996"/>
        </w:tabs>
        <w:rPr>
          <w:rFonts w:ascii="Times New Roman" w:hAnsi="Times New Roman" w:cs="Times New Roman"/>
        </w:rPr>
      </w:pPr>
      <w:r w:rsidRPr="00056587">
        <w:rPr>
          <w:rFonts w:ascii="Times New Roman" w:hAnsi="Times New Roman" w:cs="Times New Roman"/>
        </w:rPr>
        <w:t>The project also demonstrates the importance of cautious interpretation when integrating public health surveillance datasets. Because the data were aggregate, claims-based, and not individual linked, the findings cannot support causal conclusions. Diagnosed prevalence may reflect screening, access, coding, and healthcare utilization as much as underlying disease burden. Future research should use more detailed patient-level or multilevel data to better understand how diabetes management, hypertension, tobacco use, social determinants, and healthcare access contribute to diabetic eye disease outcomes.</w:t>
      </w:r>
    </w:p>
    <w:p w14:paraId="7C1620A8" w14:textId="361B75FB" w:rsidR="007D7D08" w:rsidRPr="00056587" w:rsidRDefault="007D7D08" w:rsidP="00275FC0">
      <w:pPr>
        <w:tabs>
          <w:tab w:val="left" w:pos="2996"/>
        </w:tabs>
        <w:rPr>
          <w:rFonts w:ascii="Times New Roman" w:hAnsi="Times New Roman" w:cs="Times New Roman"/>
        </w:rPr>
      </w:pPr>
      <w:r w:rsidRPr="00056587">
        <w:rPr>
          <w:rFonts w:ascii="Times New Roman" w:hAnsi="Times New Roman" w:cs="Times New Roman"/>
        </w:rPr>
        <w:t xml:space="preserve">Overall, this project provides a descriptive exploratory foundation for understanding diabetic eye disease burden in commercially insured populations, </w:t>
      </w:r>
      <w:proofErr w:type="gramStart"/>
      <w:r w:rsidRPr="00056587">
        <w:rPr>
          <w:rFonts w:ascii="Times New Roman" w:hAnsi="Times New Roman" w:cs="Times New Roman"/>
        </w:rPr>
        <w:t>It</w:t>
      </w:r>
      <w:proofErr w:type="gramEnd"/>
      <w:r w:rsidRPr="00056587">
        <w:rPr>
          <w:rFonts w:ascii="Times New Roman" w:hAnsi="Times New Roman" w:cs="Times New Roman"/>
        </w:rPr>
        <w:t xml:space="preserve"> also highlights the need for more comprehensive data sources to guide targeted screening, prevention, and equitable eye care access.</w:t>
      </w:r>
    </w:p>
    <w:p w14:paraId="42ADAC4B" w14:textId="3BFF6FD6" w:rsidR="00B870F7" w:rsidRDefault="00B870F7">
      <w:pPr>
        <w:widowControl/>
        <w:rPr>
          <w:rFonts w:ascii="Times New Roman" w:hAnsi="Times New Roman" w:cs="Times New Roman"/>
        </w:rPr>
      </w:pPr>
      <w:r>
        <w:rPr>
          <w:rFonts w:ascii="Times New Roman" w:hAnsi="Times New Roman" w:cs="Times New Roman"/>
        </w:rPr>
        <w:br w:type="page"/>
      </w:r>
    </w:p>
    <w:p w14:paraId="0289235A" w14:textId="064DA00B" w:rsidR="007D7D08" w:rsidRPr="00056587" w:rsidRDefault="007D7D08" w:rsidP="00B870F7">
      <w:pPr>
        <w:pStyle w:val="2"/>
      </w:pPr>
      <w:r w:rsidRPr="00056587">
        <w:lastRenderedPageBreak/>
        <w:t>Reference:</w:t>
      </w:r>
    </w:p>
    <w:p w14:paraId="79904B41" w14:textId="77777777" w:rsidR="00CF2D5F" w:rsidRPr="00056587" w:rsidRDefault="00CF2D5F" w:rsidP="00CF2D5F">
      <w:pPr>
        <w:pStyle w:val="ae"/>
        <w:rPr>
          <w:rFonts w:ascii="Times New Roman" w:eastAsia="DengXian" w:hAnsi="Times New Roman" w:cs="Times New Roman"/>
        </w:rPr>
      </w:pPr>
      <w:r w:rsidRPr="00056587">
        <w:rPr>
          <w:rFonts w:ascii="Times New Roman" w:hAnsi="Times New Roman" w:cs="Times New Roman"/>
        </w:rPr>
        <w:fldChar w:fldCharType="begin"/>
      </w:r>
      <w:r w:rsidRPr="00056587">
        <w:rPr>
          <w:rFonts w:ascii="Times New Roman" w:hAnsi="Times New Roman" w:cs="Times New Roman"/>
        </w:rPr>
        <w:instrText xml:space="preserve"> ADDIN ZOTERO_BIBL {"uncited":[],"omitted":[],"custom":[]} CSL_BIBLIOGRAPHY </w:instrText>
      </w:r>
      <w:r w:rsidRPr="00056587">
        <w:rPr>
          <w:rFonts w:ascii="Times New Roman" w:hAnsi="Times New Roman" w:cs="Times New Roman"/>
        </w:rPr>
        <w:fldChar w:fldCharType="separate"/>
      </w:r>
      <w:r w:rsidRPr="00056587">
        <w:rPr>
          <w:rFonts w:ascii="Times New Roman" w:eastAsia="DengXian" w:hAnsi="Times New Roman" w:cs="Times New Roman"/>
        </w:rPr>
        <w:t>1.</w:t>
      </w:r>
      <w:r w:rsidRPr="00056587">
        <w:rPr>
          <w:rFonts w:ascii="Times New Roman" w:eastAsia="DengXian" w:hAnsi="Times New Roman" w:cs="Times New Roman"/>
        </w:rPr>
        <w:tab/>
        <w:t>VEHSS Modeled Estimates: Prevalence of Diabetic Retinopathy (DR). In. Available from: https://www.cdc.gov/vision-health-data/prevalence-estimates/dr-prevalence.html</w:t>
      </w:r>
    </w:p>
    <w:p w14:paraId="2FA3E357" w14:textId="77777777" w:rsidR="00CF2D5F" w:rsidRPr="00056587" w:rsidRDefault="00CF2D5F" w:rsidP="00CF2D5F">
      <w:pPr>
        <w:pStyle w:val="ae"/>
        <w:rPr>
          <w:rFonts w:ascii="Times New Roman" w:eastAsia="DengXian" w:hAnsi="Times New Roman" w:cs="Times New Roman"/>
        </w:rPr>
      </w:pPr>
      <w:r w:rsidRPr="00056587">
        <w:rPr>
          <w:rFonts w:ascii="Times New Roman" w:eastAsia="DengXian" w:hAnsi="Times New Roman" w:cs="Times New Roman"/>
        </w:rPr>
        <w:t>2.</w:t>
      </w:r>
      <w:r w:rsidRPr="00056587">
        <w:rPr>
          <w:rFonts w:ascii="Times New Roman" w:eastAsia="DengXian" w:hAnsi="Times New Roman" w:cs="Times New Roman"/>
        </w:rPr>
        <w:tab/>
        <w:t xml:space="preserve">Lundeen EA, Burke-Conte Z, Rein DB, </w:t>
      </w:r>
      <w:proofErr w:type="spellStart"/>
      <w:r w:rsidRPr="00056587">
        <w:rPr>
          <w:rFonts w:ascii="Times New Roman" w:eastAsia="DengXian" w:hAnsi="Times New Roman" w:cs="Times New Roman"/>
        </w:rPr>
        <w:t>Wittenborn</w:t>
      </w:r>
      <w:proofErr w:type="spellEnd"/>
      <w:r w:rsidRPr="00056587">
        <w:rPr>
          <w:rFonts w:ascii="Times New Roman" w:eastAsia="DengXian" w:hAnsi="Times New Roman" w:cs="Times New Roman"/>
        </w:rPr>
        <w:t xml:space="preserve"> JS, </w:t>
      </w:r>
      <w:proofErr w:type="spellStart"/>
      <w:r w:rsidRPr="00056587">
        <w:rPr>
          <w:rFonts w:ascii="Times New Roman" w:eastAsia="DengXian" w:hAnsi="Times New Roman" w:cs="Times New Roman"/>
        </w:rPr>
        <w:t>Saaddine</w:t>
      </w:r>
      <w:proofErr w:type="spellEnd"/>
      <w:r w:rsidRPr="00056587">
        <w:rPr>
          <w:rFonts w:ascii="Times New Roman" w:eastAsia="DengXian" w:hAnsi="Times New Roman" w:cs="Times New Roman"/>
        </w:rPr>
        <w:t xml:space="preserve"> J, Lee AY, et al. Prevalence of Diabetic Retinopathy in the US in 2021. JAMA </w:t>
      </w:r>
      <w:proofErr w:type="spellStart"/>
      <w:r w:rsidRPr="00056587">
        <w:rPr>
          <w:rFonts w:ascii="Times New Roman" w:eastAsia="DengXian" w:hAnsi="Times New Roman" w:cs="Times New Roman"/>
        </w:rPr>
        <w:t>Ophthalmol</w:t>
      </w:r>
      <w:proofErr w:type="spellEnd"/>
      <w:r w:rsidRPr="00056587">
        <w:rPr>
          <w:rFonts w:ascii="Times New Roman" w:eastAsia="DengXian" w:hAnsi="Times New Roman" w:cs="Times New Roman"/>
        </w:rPr>
        <w:t>. 2023 Aug 1;141(8):747. doi:10.1001/jamaophthalmol.2023.2289</w:t>
      </w:r>
    </w:p>
    <w:p w14:paraId="3D555BA5" w14:textId="77777777" w:rsidR="00CF2D5F" w:rsidRPr="00056587" w:rsidRDefault="00CF2D5F" w:rsidP="00CF2D5F">
      <w:pPr>
        <w:pStyle w:val="ae"/>
        <w:rPr>
          <w:rFonts w:ascii="Times New Roman" w:eastAsia="DengXian" w:hAnsi="Times New Roman" w:cs="Times New Roman"/>
        </w:rPr>
      </w:pPr>
      <w:r w:rsidRPr="00056587">
        <w:rPr>
          <w:rFonts w:ascii="Times New Roman" w:eastAsia="DengXian" w:hAnsi="Times New Roman" w:cs="Times New Roman"/>
        </w:rPr>
        <w:t>3.</w:t>
      </w:r>
      <w:r w:rsidRPr="00056587">
        <w:rPr>
          <w:rFonts w:ascii="Times New Roman" w:eastAsia="DengXian" w:hAnsi="Times New Roman" w:cs="Times New Roman"/>
        </w:rPr>
        <w:tab/>
        <w:t>About the Data: MarketScan. In. (Vision and Eye Health Surveillance System (VEHSS)). Available from: https://www.cdc.gov/vision-health-data/data-sources/marketscan.html</w:t>
      </w:r>
    </w:p>
    <w:p w14:paraId="0EA99705" w14:textId="77777777" w:rsidR="00CF2D5F" w:rsidRPr="00056587" w:rsidRDefault="00CF2D5F" w:rsidP="00CF2D5F">
      <w:pPr>
        <w:pStyle w:val="ae"/>
        <w:rPr>
          <w:rFonts w:ascii="Times New Roman" w:eastAsia="DengXian" w:hAnsi="Times New Roman" w:cs="Times New Roman"/>
        </w:rPr>
      </w:pPr>
      <w:r w:rsidRPr="00056587">
        <w:rPr>
          <w:rFonts w:ascii="Times New Roman" w:eastAsia="DengXian" w:hAnsi="Times New Roman" w:cs="Times New Roman"/>
        </w:rPr>
        <w:t>4.</w:t>
      </w:r>
      <w:r w:rsidRPr="00056587">
        <w:rPr>
          <w:rFonts w:ascii="Times New Roman" w:eastAsia="DengXian" w:hAnsi="Times New Roman" w:cs="Times New Roman"/>
        </w:rPr>
        <w:tab/>
        <w:t>Nutrition, Physical Activity, and Obesity - Behavioral Risk Factor Surveillance System [Internet]. CDC. Available from: https://data.cdc.gov/Nutrition-Physical-Activity-and-Obesity/Nutrition-Physical-Activity-and-Obesity-Behavioral/hn4x-zwk7/about_data</w:t>
      </w:r>
    </w:p>
    <w:p w14:paraId="316A5678" w14:textId="1B1358A3" w:rsidR="007D7D08" w:rsidRPr="007D7D08" w:rsidRDefault="00CF2D5F" w:rsidP="00CF2D5F">
      <w:pPr>
        <w:pStyle w:val="ae"/>
      </w:pPr>
      <w:r w:rsidRPr="00056587">
        <w:rPr>
          <w:rFonts w:ascii="Times New Roman" w:hAnsi="Times New Roman" w:cs="Times New Roman"/>
        </w:rPr>
        <w:fldChar w:fldCharType="end"/>
      </w:r>
    </w:p>
    <w:sectPr w:rsidR="007D7D08" w:rsidRPr="007D7D0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7A1"/>
    <w:rsid w:val="00030ED8"/>
    <w:rsid w:val="00056587"/>
    <w:rsid w:val="00060617"/>
    <w:rsid w:val="000678C7"/>
    <w:rsid w:val="00072EB6"/>
    <w:rsid w:val="000972F7"/>
    <w:rsid w:val="000C0B2F"/>
    <w:rsid w:val="000D6D85"/>
    <w:rsid w:val="000E1419"/>
    <w:rsid w:val="00103668"/>
    <w:rsid w:val="0010612F"/>
    <w:rsid w:val="0013319E"/>
    <w:rsid w:val="00134B37"/>
    <w:rsid w:val="00135ED3"/>
    <w:rsid w:val="0014655F"/>
    <w:rsid w:val="00157FC6"/>
    <w:rsid w:val="00162CA6"/>
    <w:rsid w:val="0022067E"/>
    <w:rsid w:val="0022207E"/>
    <w:rsid w:val="002560EB"/>
    <w:rsid w:val="00275FC0"/>
    <w:rsid w:val="002A7B4C"/>
    <w:rsid w:val="002F3DF7"/>
    <w:rsid w:val="0030238A"/>
    <w:rsid w:val="00337EDF"/>
    <w:rsid w:val="00387ECB"/>
    <w:rsid w:val="00397124"/>
    <w:rsid w:val="003B5D3C"/>
    <w:rsid w:val="003D054A"/>
    <w:rsid w:val="003D1339"/>
    <w:rsid w:val="003F1FC8"/>
    <w:rsid w:val="00402ABC"/>
    <w:rsid w:val="00412C79"/>
    <w:rsid w:val="00416FCC"/>
    <w:rsid w:val="004225F2"/>
    <w:rsid w:val="00430166"/>
    <w:rsid w:val="00447A19"/>
    <w:rsid w:val="0046382E"/>
    <w:rsid w:val="0047448E"/>
    <w:rsid w:val="00487185"/>
    <w:rsid w:val="004B515F"/>
    <w:rsid w:val="004B5B28"/>
    <w:rsid w:val="004D0970"/>
    <w:rsid w:val="0055060C"/>
    <w:rsid w:val="005611C5"/>
    <w:rsid w:val="005F0D65"/>
    <w:rsid w:val="005F1BAA"/>
    <w:rsid w:val="00614DA8"/>
    <w:rsid w:val="00615A4B"/>
    <w:rsid w:val="00627EEB"/>
    <w:rsid w:val="006305FA"/>
    <w:rsid w:val="00643AE2"/>
    <w:rsid w:val="00672154"/>
    <w:rsid w:val="006B223C"/>
    <w:rsid w:val="006E5D76"/>
    <w:rsid w:val="006F377B"/>
    <w:rsid w:val="006F7E71"/>
    <w:rsid w:val="0070460A"/>
    <w:rsid w:val="00717B88"/>
    <w:rsid w:val="00745D00"/>
    <w:rsid w:val="00766849"/>
    <w:rsid w:val="007863A7"/>
    <w:rsid w:val="007B28BB"/>
    <w:rsid w:val="007D25F3"/>
    <w:rsid w:val="007D7D08"/>
    <w:rsid w:val="007F4D8A"/>
    <w:rsid w:val="00812AC8"/>
    <w:rsid w:val="008421C6"/>
    <w:rsid w:val="008E57B7"/>
    <w:rsid w:val="00903445"/>
    <w:rsid w:val="00983BF9"/>
    <w:rsid w:val="009906B8"/>
    <w:rsid w:val="009C16F3"/>
    <w:rsid w:val="009C5831"/>
    <w:rsid w:val="009E272C"/>
    <w:rsid w:val="009F7CAC"/>
    <w:rsid w:val="00A00DC1"/>
    <w:rsid w:val="00A03553"/>
    <w:rsid w:val="00A044D7"/>
    <w:rsid w:val="00A26F2A"/>
    <w:rsid w:val="00A33643"/>
    <w:rsid w:val="00A979E7"/>
    <w:rsid w:val="00AA7346"/>
    <w:rsid w:val="00AB3B6C"/>
    <w:rsid w:val="00AB4F7D"/>
    <w:rsid w:val="00AD20D4"/>
    <w:rsid w:val="00AD7FCD"/>
    <w:rsid w:val="00AF58C2"/>
    <w:rsid w:val="00B24086"/>
    <w:rsid w:val="00B807FA"/>
    <w:rsid w:val="00B870F7"/>
    <w:rsid w:val="00BE68FE"/>
    <w:rsid w:val="00C07176"/>
    <w:rsid w:val="00C21EAF"/>
    <w:rsid w:val="00C270D1"/>
    <w:rsid w:val="00C33021"/>
    <w:rsid w:val="00C4710C"/>
    <w:rsid w:val="00CA2FD0"/>
    <w:rsid w:val="00CF0D44"/>
    <w:rsid w:val="00CF2D5F"/>
    <w:rsid w:val="00D01223"/>
    <w:rsid w:val="00D079BB"/>
    <w:rsid w:val="00D257A1"/>
    <w:rsid w:val="00D47FD5"/>
    <w:rsid w:val="00D56D5C"/>
    <w:rsid w:val="00D825B2"/>
    <w:rsid w:val="00DA1C45"/>
    <w:rsid w:val="00DB0A0A"/>
    <w:rsid w:val="00DC03D0"/>
    <w:rsid w:val="00DF5328"/>
    <w:rsid w:val="00E261B1"/>
    <w:rsid w:val="00E3172A"/>
    <w:rsid w:val="00E92110"/>
    <w:rsid w:val="00EA468D"/>
    <w:rsid w:val="00ED082F"/>
    <w:rsid w:val="00ED6F5C"/>
    <w:rsid w:val="00EF5596"/>
    <w:rsid w:val="00F05582"/>
    <w:rsid w:val="00F17E67"/>
    <w:rsid w:val="00F60428"/>
    <w:rsid w:val="00F626C6"/>
    <w:rsid w:val="00F71CB8"/>
    <w:rsid w:val="00FC46F1"/>
    <w:rsid w:val="00FC617E"/>
    <w:rsid w:val="00FD6633"/>
    <w:rsid w:val="00FE7C13"/>
    <w:rsid w:val="00FF6CF2"/>
    <w:rsid w:val="00FF7B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A6B73"/>
  <w15:chartTrackingRefBased/>
  <w15:docId w15:val="{943F4CBD-0D6B-7344-BB16-2825A981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57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257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257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257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257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257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257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57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57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57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257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257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57A1"/>
    <w:rPr>
      <w:rFonts w:cstheme="majorBidi"/>
      <w:color w:val="0F4761" w:themeColor="accent1" w:themeShade="BF"/>
      <w:sz w:val="28"/>
      <w:szCs w:val="28"/>
    </w:rPr>
  </w:style>
  <w:style w:type="character" w:customStyle="1" w:styleId="50">
    <w:name w:val="标题 5 字符"/>
    <w:basedOn w:val="a0"/>
    <w:link w:val="5"/>
    <w:uiPriority w:val="9"/>
    <w:semiHidden/>
    <w:rsid w:val="00D257A1"/>
    <w:rPr>
      <w:rFonts w:cstheme="majorBidi"/>
      <w:color w:val="0F4761" w:themeColor="accent1" w:themeShade="BF"/>
      <w:sz w:val="24"/>
    </w:rPr>
  </w:style>
  <w:style w:type="character" w:customStyle="1" w:styleId="60">
    <w:name w:val="标题 6 字符"/>
    <w:basedOn w:val="a0"/>
    <w:link w:val="6"/>
    <w:uiPriority w:val="9"/>
    <w:semiHidden/>
    <w:rsid w:val="00D257A1"/>
    <w:rPr>
      <w:rFonts w:cstheme="majorBidi"/>
      <w:b/>
      <w:bCs/>
      <w:color w:val="0F4761" w:themeColor="accent1" w:themeShade="BF"/>
    </w:rPr>
  </w:style>
  <w:style w:type="character" w:customStyle="1" w:styleId="70">
    <w:name w:val="标题 7 字符"/>
    <w:basedOn w:val="a0"/>
    <w:link w:val="7"/>
    <w:uiPriority w:val="9"/>
    <w:semiHidden/>
    <w:rsid w:val="00D257A1"/>
    <w:rPr>
      <w:rFonts w:cstheme="majorBidi"/>
      <w:b/>
      <w:bCs/>
      <w:color w:val="595959" w:themeColor="text1" w:themeTint="A6"/>
    </w:rPr>
  </w:style>
  <w:style w:type="character" w:customStyle="1" w:styleId="80">
    <w:name w:val="标题 8 字符"/>
    <w:basedOn w:val="a0"/>
    <w:link w:val="8"/>
    <w:uiPriority w:val="9"/>
    <w:semiHidden/>
    <w:rsid w:val="00D257A1"/>
    <w:rPr>
      <w:rFonts w:cstheme="majorBidi"/>
      <w:color w:val="595959" w:themeColor="text1" w:themeTint="A6"/>
    </w:rPr>
  </w:style>
  <w:style w:type="character" w:customStyle="1" w:styleId="90">
    <w:name w:val="标题 9 字符"/>
    <w:basedOn w:val="a0"/>
    <w:link w:val="9"/>
    <w:uiPriority w:val="9"/>
    <w:semiHidden/>
    <w:rsid w:val="00D257A1"/>
    <w:rPr>
      <w:rFonts w:eastAsiaTheme="majorEastAsia" w:cstheme="majorBidi"/>
      <w:color w:val="595959" w:themeColor="text1" w:themeTint="A6"/>
    </w:rPr>
  </w:style>
  <w:style w:type="paragraph" w:styleId="a3">
    <w:name w:val="Title"/>
    <w:basedOn w:val="a"/>
    <w:next w:val="a"/>
    <w:link w:val="a4"/>
    <w:uiPriority w:val="10"/>
    <w:qFormat/>
    <w:rsid w:val="00D257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57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57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57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57A1"/>
    <w:pPr>
      <w:spacing w:before="160"/>
      <w:jc w:val="center"/>
    </w:pPr>
    <w:rPr>
      <w:i/>
      <w:iCs/>
      <w:color w:val="404040" w:themeColor="text1" w:themeTint="BF"/>
    </w:rPr>
  </w:style>
  <w:style w:type="character" w:customStyle="1" w:styleId="a8">
    <w:name w:val="引用 字符"/>
    <w:basedOn w:val="a0"/>
    <w:link w:val="a7"/>
    <w:uiPriority w:val="29"/>
    <w:rsid w:val="00D257A1"/>
    <w:rPr>
      <w:i/>
      <w:iCs/>
      <w:color w:val="404040" w:themeColor="text1" w:themeTint="BF"/>
    </w:rPr>
  </w:style>
  <w:style w:type="paragraph" w:styleId="a9">
    <w:name w:val="List Paragraph"/>
    <w:basedOn w:val="a"/>
    <w:uiPriority w:val="34"/>
    <w:qFormat/>
    <w:rsid w:val="00D257A1"/>
    <w:pPr>
      <w:ind w:left="720"/>
      <w:contextualSpacing/>
    </w:pPr>
  </w:style>
  <w:style w:type="character" w:styleId="aa">
    <w:name w:val="Intense Emphasis"/>
    <w:basedOn w:val="a0"/>
    <w:uiPriority w:val="21"/>
    <w:qFormat/>
    <w:rsid w:val="00D257A1"/>
    <w:rPr>
      <w:i/>
      <w:iCs/>
      <w:color w:val="0F4761" w:themeColor="accent1" w:themeShade="BF"/>
    </w:rPr>
  </w:style>
  <w:style w:type="paragraph" w:styleId="ab">
    <w:name w:val="Intense Quote"/>
    <w:basedOn w:val="a"/>
    <w:next w:val="a"/>
    <w:link w:val="ac"/>
    <w:uiPriority w:val="30"/>
    <w:qFormat/>
    <w:rsid w:val="00D25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257A1"/>
    <w:rPr>
      <w:i/>
      <w:iCs/>
      <w:color w:val="0F4761" w:themeColor="accent1" w:themeShade="BF"/>
    </w:rPr>
  </w:style>
  <w:style w:type="character" w:styleId="ad">
    <w:name w:val="Intense Reference"/>
    <w:basedOn w:val="a0"/>
    <w:uiPriority w:val="32"/>
    <w:qFormat/>
    <w:rsid w:val="00D257A1"/>
    <w:rPr>
      <w:b/>
      <w:bCs/>
      <w:smallCaps/>
      <w:color w:val="0F4761" w:themeColor="accent1" w:themeShade="BF"/>
      <w:spacing w:val="5"/>
    </w:rPr>
  </w:style>
  <w:style w:type="paragraph" w:styleId="ae">
    <w:name w:val="Bibliography"/>
    <w:basedOn w:val="a"/>
    <w:next w:val="a"/>
    <w:uiPriority w:val="37"/>
    <w:unhideWhenUsed/>
    <w:rsid w:val="00CF2D5F"/>
    <w:pPr>
      <w:tabs>
        <w:tab w:val="left" w:pos="260"/>
      </w:tabs>
      <w:spacing w:after="240" w:line="240" w:lineRule="auto"/>
      <w:ind w:left="264" w:hanging="264"/>
    </w:pPr>
  </w:style>
  <w:style w:type="paragraph" w:styleId="af">
    <w:name w:val="caption"/>
    <w:basedOn w:val="a"/>
    <w:next w:val="a"/>
    <w:uiPriority w:val="35"/>
    <w:unhideWhenUsed/>
    <w:qFormat/>
    <w:rsid w:val="00AB3B6C"/>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3393">
      <w:bodyDiv w:val="1"/>
      <w:marLeft w:val="0"/>
      <w:marRight w:val="0"/>
      <w:marTop w:val="0"/>
      <w:marBottom w:val="0"/>
      <w:divBdr>
        <w:top w:val="none" w:sz="0" w:space="0" w:color="auto"/>
        <w:left w:val="none" w:sz="0" w:space="0" w:color="auto"/>
        <w:bottom w:val="none" w:sz="0" w:space="0" w:color="auto"/>
        <w:right w:val="none" w:sz="0" w:space="0" w:color="auto"/>
      </w:divBdr>
    </w:div>
    <w:div w:id="71007115">
      <w:bodyDiv w:val="1"/>
      <w:marLeft w:val="0"/>
      <w:marRight w:val="0"/>
      <w:marTop w:val="0"/>
      <w:marBottom w:val="0"/>
      <w:divBdr>
        <w:top w:val="none" w:sz="0" w:space="0" w:color="auto"/>
        <w:left w:val="none" w:sz="0" w:space="0" w:color="auto"/>
        <w:bottom w:val="none" w:sz="0" w:space="0" w:color="auto"/>
        <w:right w:val="none" w:sz="0" w:space="0" w:color="auto"/>
      </w:divBdr>
    </w:div>
    <w:div w:id="113720251">
      <w:bodyDiv w:val="1"/>
      <w:marLeft w:val="0"/>
      <w:marRight w:val="0"/>
      <w:marTop w:val="0"/>
      <w:marBottom w:val="0"/>
      <w:divBdr>
        <w:top w:val="none" w:sz="0" w:space="0" w:color="auto"/>
        <w:left w:val="none" w:sz="0" w:space="0" w:color="auto"/>
        <w:bottom w:val="none" w:sz="0" w:space="0" w:color="auto"/>
        <w:right w:val="none" w:sz="0" w:space="0" w:color="auto"/>
      </w:divBdr>
    </w:div>
    <w:div w:id="147483551">
      <w:bodyDiv w:val="1"/>
      <w:marLeft w:val="0"/>
      <w:marRight w:val="0"/>
      <w:marTop w:val="0"/>
      <w:marBottom w:val="0"/>
      <w:divBdr>
        <w:top w:val="none" w:sz="0" w:space="0" w:color="auto"/>
        <w:left w:val="none" w:sz="0" w:space="0" w:color="auto"/>
        <w:bottom w:val="none" w:sz="0" w:space="0" w:color="auto"/>
        <w:right w:val="none" w:sz="0" w:space="0" w:color="auto"/>
      </w:divBdr>
    </w:div>
    <w:div w:id="242107336">
      <w:bodyDiv w:val="1"/>
      <w:marLeft w:val="0"/>
      <w:marRight w:val="0"/>
      <w:marTop w:val="0"/>
      <w:marBottom w:val="0"/>
      <w:divBdr>
        <w:top w:val="none" w:sz="0" w:space="0" w:color="auto"/>
        <w:left w:val="none" w:sz="0" w:space="0" w:color="auto"/>
        <w:bottom w:val="none" w:sz="0" w:space="0" w:color="auto"/>
        <w:right w:val="none" w:sz="0" w:space="0" w:color="auto"/>
      </w:divBdr>
    </w:div>
    <w:div w:id="243614428">
      <w:bodyDiv w:val="1"/>
      <w:marLeft w:val="0"/>
      <w:marRight w:val="0"/>
      <w:marTop w:val="0"/>
      <w:marBottom w:val="0"/>
      <w:divBdr>
        <w:top w:val="none" w:sz="0" w:space="0" w:color="auto"/>
        <w:left w:val="none" w:sz="0" w:space="0" w:color="auto"/>
        <w:bottom w:val="none" w:sz="0" w:space="0" w:color="auto"/>
        <w:right w:val="none" w:sz="0" w:space="0" w:color="auto"/>
      </w:divBdr>
    </w:div>
    <w:div w:id="245921146">
      <w:bodyDiv w:val="1"/>
      <w:marLeft w:val="0"/>
      <w:marRight w:val="0"/>
      <w:marTop w:val="0"/>
      <w:marBottom w:val="0"/>
      <w:divBdr>
        <w:top w:val="none" w:sz="0" w:space="0" w:color="auto"/>
        <w:left w:val="none" w:sz="0" w:space="0" w:color="auto"/>
        <w:bottom w:val="none" w:sz="0" w:space="0" w:color="auto"/>
        <w:right w:val="none" w:sz="0" w:space="0" w:color="auto"/>
      </w:divBdr>
    </w:div>
    <w:div w:id="246548342">
      <w:bodyDiv w:val="1"/>
      <w:marLeft w:val="0"/>
      <w:marRight w:val="0"/>
      <w:marTop w:val="0"/>
      <w:marBottom w:val="0"/>
      <w:divBdr>
        <w:top w:val="none" w:sz="0" w:space="0" w:color="auto"/>
        <w:left w:val="none" w:sz="0" w:space="0" w:color="auto"/>
        <w:bottom w:val="none" w:sz="0" w:space="0" w:color="auto"/>
        <w:right w:val="none" w:sz="0" w:space="0" w:color="auto"/>
      </w:divBdr>
    </w:div>
    <w:div w:id="346715493">
      <w:bodyDiv w:val="1"/>
      <w:marLeft w:val="0"/>
      <w:marRight w:val="0"/>
      <w:marTop w:val="0"/>
      <w:marBottom w:val="0"/>
      <w:divBdr>
        <w:top w:val="none" w:sz="0" w:space="0" w:color="auto"/>
        <w:left w:val="none" w:sz="0" w:space="0" w:color="auto"/>
        <w:bottom w:val="none" w:sz="0" w:space="0" w:color="auto"/>
        <w:right w:val="none" w:sz="0" w:space="0" w:color="auto"/>
      </w:divBdr>
    </w:div>
    <w:div w:id="371997872">
      <w:bodyDiv w:val="1"/>
      <w:marLeft w:val="0"/>
      <w:marRight w:val="0"/>
      <w:marTop w:val="0"/>
      <w:marBottom w:val="0"/>
      <w:divBdr>
        <w:top w:val="none" w:sz="0" w:space="0" w:color="auto"/>
        <w:left w:val="none" w:sz="0" w:space="0" w:color="auto"/>
        <w:bottom w:val="none" w:sz="0" w:space="0" w:color="auto"/>
        <w:right w:val="none" w:sz="0" w:space="0" w:color="auto"/>
      </w:divBdr>
    </w:div>
    <w:div w:id="414715465">
      <w:bodyDiv w:val="1"/>
      <w:marLeft w:val="0"/>
      <w:marRight w:val="0"/>
      <w:marTop w:val="0"/>
      <w:marBottom w:val="0"/>
      <w:divBdr>
        <w:top w:val="none" w:sz="0" w:space="0" w:color="auto"/>
        <w:left w:val="none" w:sz="0" w:space="0" w:color="auto"/>
        <w:bottom w:val="none" w:sz="0" w:space="0" w:color="auto"/>
        <w:right w:val="none" w:sz="0" w:space="0" w:color="auto"/>
      </w:divBdr>
    </w:div>
    <w:div w:id="467281525">
      <w:bodyDiv w:val="1"/>
      <w:marLeft w:val="0"/>
      <w:marRight w:val="0"/>
      <w:marTop w:val="0"/>
      <w:marBottom w:val="0"/>
      <w:divBdr>
        <w:top w:val="none" w:sz="0" w:space="0" w:color="auto"/>
        <w:left w:val="none" w:sz="0" w:space="0" w:color="auto"/>
        <w:bottom w:val="none" w:sz="0" w:space="0" w:color="auto"/>
        <w:right w:val="none" w:sz="0" w:space="0" w:color="auto"/>
      </w:divBdr>
    </w:div>
    <w:div w:id="476649153">
      <w:bodyDiv w:val="1"/>
      <w:marLeft w:val="0"/>
      <w:marRight w:val="0"/>
      <w:marTop w:val="0"/>
      <w:marBottom w:val="0"/>
      <w:divBdr>
        <w:top w:val="none" w:sz="0" w:space="0" w:color="auto"/>
        <w:left w:val="none" w:sz="0" w:space="0" w:color="auto"/>
        <w:bottom w:val="none" w:sz="0" w:space="0" w:color="auto"/>
        <w:right w:val="none" w:sz="0" w:space="0" w:color="auto"/>
      </w:divBdr>
    </w:div>
    <w:div w:id="513230549">
      <w:bodyDiv w:val="1"/>
      <w:marLeft w:val="0"/>
      <w:marRight w:val="0"/>
      <w:marTop w:val="0"/>
      <w:marBottom w:val="0"/>
      <w:divBdr>
        <w:top w:val="none" w:sz="0" w:space="0" w:color="auto"/>
        <w:left w:val="none" w:sz="0" w:space="0" w:color="auto"/>
        <w:bottom w:val="none" w:sz="0" w:space="0" w:color="auto"/>
        <w:right w:val="none" w:sz="0" w:space="0" w:color="auto"/>
      </w:divBdr>
    </w:div>
    <w:div w:id="593779629">
      <w:bodyDiv w:val="1"/>
      <w:marLeft w:val="0"/>
      <w:marRight w:val="0"/>
      <w:marTop w:val="0"/>
      <w:marBottom w:val="0"/>
      <w:divBdr>
        <w:top w:val="none" w:sz="0" w:space="0" w:color="auto"/>
        <w:left w:val="none" w:sz="0" w:space="0" w:color="auto"/>
        <w:bottom w:val="none" w:sz="0" w:space="0" w:color="auto"/>
        <w:right w:val="none" w:sz="0" w:space="0" w:color="auto"/>
      </w:divBdr>
    </w:div>
    <w:div w:id="608125999">
      <w:bodyDiv w:val="1"/>
      <w:marLeft w:val="0"/>
      <w:marRight w:val="0"/>
      <w:marTop w:val="0"/>
      <w:marBottom w:val="0"/>
      <w:divBdr>
        <w:top w:val="none" w:sz="0" w:space="0" w:color="auto"/>
        <w:left w:val="none" w:sz="0" w:space="0" w:color="auto"/>
        <w:bottom w:val="none" w:sz="0" w:space="0" w:color="auto"/>
        <w:right w:val="none" w:sz="0" w:space="0" w:color="auto"/>
      </w:divBdr>
    </w:div>
    <w:div w:id="703751900">
      <w:bodyDiv w:val="1"/>
      <w:marLeft w:val="0"/>
      <w:marRight w:val="0"/>
      <w:marTop w:val="0"/>
      <w:marBottom w:val="0"/>
      <w:divBdr>
        <w:top w:val="none" w:sz="0" w:space="0" w:color="auto"/>
        <w:left w:val="none" w:sz="0" w:space="0" w:color="auto"/>
        <w:bottom w:val="none" w:sz="0" w:space="0" w:color="auto"/>
        <w:right w:val="none" w:sz="0" w:space="0" w:color="auto"/>
      </w:divBdr>
    </w:div>
    <w:div w:id="719600010">
      <w:bodyDiv w:val="1"/>
      <w:marLeft w:val="0"/>
      <w:marRight w:val="0"/>
      <w:marTop w:val="0"/>
      <w:marBottom w:val="0"/>
      <w:divBdr>
        <w:top w:val="none" w:sz="0" w:space="0" w:color="auto"/>
        <w:left w:val="none" w:sz="0" w:space="0" w:color="auto"/>
        <w:bottom w:val="none" w:sz="0" w:space="0" w:color="auto"/>
        <w:right w:val="none" w:sz="0" w:space="0" w:color="auto"/>
      </w:divBdr>
    </w:div>
    <w:div w:id="786316669">
      <w:bodyDiv w:val="1"/>
      <w:marLeft w:val="0"/>
      <w:marRight w:val="0"/>
      <w:marTop w:val="0"/>
      <w:marBottom w:val="0"/>
      <w:divBdr>
        <w:top w:val="none" w:sz="0" w:space="0" w:color="auto"/>
        <w:left w:val="none" w:sz="0" w:space="0" w:color="auto"/>
        <w:bottom w:val="none" w:sz="0" w:space="0" w:color="auto"/>
        <w:right w:val="none" w:sz="0" w:space="0" w:color="auto"/>
      </w:divBdr>
    </w:div>
    <w:div w:id="806359999">
      <w:bodyDiv w:val="1"/>
      <w:marLeft w:val="0"/>
      <w:marRight w:val="0"/>
      <w:marTop w:val="0"/>
      <w:marBottom w:val="0"/>
      <w:divBdr>
        <w:top w:val="none" w:sz="0" w:space="0" w:color="auto"/>
        <w:left w:val="none" w:sz="0" w:space="0" w:color="auto"/>
        <w:bottom w:val="none" w:sz="0" w:space="0" w:color="auto"/>
        <w:right w:val="none" w:sz="0" w:space="0" w:color="auto"/>
      </w:divBdr>
    </w:div>
    <w:div w:id="827285466">
      <w:bodyDiv w:val="1"/>
      <w:marLeft w:val="0"/>
      <w:marRight w:val="0"/>
      <w:marTop w:val="0"/>
      <w:marBottom w:val="0"/>
      <w:divBdr>
        <w:top w:val="none" w:sz="0" w:space="0" w:color="auto"/>
        <w:left w:val="none" w:sz="0" w:space="0" w:color="auto"/>
        <w:bottom w:val="none" w:sz="0" w:space="0" w:color="auto"/>
        <w:right w:val="none" w:sz="0" w:space="0" w:color="auto"/>
      </w:divBdr>
    </w:div>
    <w:div w:id="987244589">
      <w:bodyDiv w:val="1"/>
      <w:marLeft w:val="0"/>
      <w:marRight w:val="0"/>
      <w:marTop w:val="0"/>
      <w:marBottom w:val="0"/>
      <w:divBdr>
        <w:top w:val="none" w:sz="0" w:space="0" w:color="auto"/>
        <w:left w:val="none" w:sz="0" w:space="0" w:color="auto"/>
        <w:bottom w:val="none" w:sz="0" w:space="0" w:color="auto"/>
        <w:right w:val="none" w:sz="0" w:space="0" w:color="auto"/>
      </w:divBdr>
    </w:div>
    <w:div w:id="1040209745">
      <w:bodyDiv w:val="1"/>
      <w:marLeft w:val="0"/>
      <w:marRight w:val="0"/>
      <w:marTop w:val="0"/>
      <w:marBottom w:val="0"/>
      <w:divBdr>
        <w:top w:val="none" w:sz="0" w:space="0" w:color="auto"/>
        <w:left w:val="none" w:sz="0" w:space="0" w:color="auto"/>
        <w:bottom w:val="none" w:sz="0" w:space="0" w:color="auto"/>
        <w:right w:val="none" w:sz="0" w:space="0" w:color="auto"/>
      </w:divBdr>
    </w:div>
    <w:div w:id="1160458881">
      <w:bodyDiv w:val="1"/>
      <w:marLeft w:val="0"/>
      <w:marRight w:val="0"/>
      <w:marTop w:val="0"/>
      <w:marBottom w:val="0"/>
      <w:divBdr>
        <w:top w:val="none" w:sz="0" w:space="0" w:color="auto"/>
        <w:left w:val="none" w:sz="0" w:space="0" w:color="auto"/>
        <w:bottom w:val="none" w:sz="0" w:space="0" w:color="auto"/>
        <w:right w:val="none" w:sz="0" w:space="0" w:color="auto"/>
      </w:divBdr>
    </w:div>
    <w:div w:id="1188835247">
      <w:bodyDiv w:val="1"/>
      <w:marLeft w:val="0"/>
      <w:marRight w:val="0"/>
      <w:marTop w:val="0"/>
      <w:marBottom w:val="0"/>
      <w:divBdr>
        <w:top w:val="none" w:sz="0" w:space="0" w:color="auto"/>
        <w:left w:val="none" w:sz="0" w:space="0" w:color="auto"/>
        <w:bottom w:val="none" w:sz="0" w:space="0" w:color="auto"/>
        <w:right w:val="none" w:sz="0" w:space="0" w:color="auto"/>
      </w:divBdr>
    </w:div>
    <w:div w:id="1209487181">
      <w:bodyDiv w:val="1"/>
      <w:marLeft w:val="0"/>
      <w:marRight w:val="0"/>
      <w:marTop w:val="0"/>
      <w:marBottom w:val="0"/>
      <w:divBdr>
        <w:top w:val="none" w:sz="0" w:space="0" w:color="auto"/>
        <w:left w:val="none" w:sz="0" w:space="0" w:color="auto"/>
        <w:bottom w:val="none" w:sz="0" w:space="0" w:color="auto"/>
        <w:right w:val="none" w:sz="0" w:space="0" w:color="auto"/>
      </w:divBdr>
    </w:div>
    <w:div w:id="1233546183">
      <w:bodyDiv w:val="1"/>
      <w:marLeft w:val="0"/>
      <w:marRight w:val="0"/>
      <w:marTop w:val="0"/>
      <w:marBottom w:val="0"/>
      <w:divBdr>
        <w:top w:val="none" w:sz="0" w:space="0" w:color="auto"/>
        <w:left w:val="none" w:sz="0" w:space="0" w:color="auto"/>
        <w:bottom w:val="none" w:sz="0" w:space="0" w:color="auto"/>
        <w:right w:val="none" w:sz="0" w:space="0" w:color="auto"/>
      </w:divBdr>
    </w:div>
    <w:div w:id="1286809070">
      <w:bodyDiv w:val="1"/>
      <w:marLeft w:val="0"/>
      <w:marRight w:val="0"/>
      <w:marTop w:val="0"/>
      <w:marBottom w:val="0"/>
      <w:divBdr>
        <w:top w:val="none" w:sz="0" w:space="0" w:color="auto"/>
        <w:left w:val="none" w:sz="0" w:space="0" w:color="auto"/>
        <w:bottom w:val="none" w:sz="0" w:space="0" w:color="auto"/>
        <w:right w:val="none" w:sz="0" w:space="0" w:color="auto"/>
      </w:divBdr>
    </w:div>
    <w:div w:id="1308588633">
      <w:bodyDiv w:val="1"/>
      <w:marLeft w:val="0"/>
      <w:marRight w:val="0"/>
      <w:marTop w:val="0"/>
      <w:marBottom w:val="0"/>
      <w:divBdr>
        <w:top w:val="none" w:sz="0" w:space="0" w:color="auto"/>
        <w:left w:val="none" w:sz="0" w:space="0" w:color="auto"/>
        <w:bottom w:val="none" w:sz="0" w:space="0" w:color="auto"/>
        <w:right w:val="none" w:sz="0" w:space="0" w:color="auto"/>
      </w:divBdr>
    </w:div>
    <w:div w:id="1319916370">
      <w:bodyDiv w:val="1"/>
      <w:marLeft w:val="0"/>
      <w:marRight w:val="0"/>
      <w:marTop w:val="0"/>
      <w:marBottom w:val="0"/>
      <w:divBdr>
        <w:top w:val="none" w:sz="0" w:space="0" w:color="auto"/>
        <w:left w:val="none" w:sz="0" w:space="0" w:color="auto"/>
        <w:bottom w:val="none" w:sz="0" w:space="0" w:color="auto"/>
        <w:right w:val="none" w:sz="0" w:space="0" w:color="auto"/>
      </w:divBdr>
    </w:div>
    <w:div w:id="1383401327">
      <w:bodyDiv w:val="1"/>
      <w:marLeft w:val="0"/>
      <w:marRight w:val="0"/>
      <w:marTop w:val="0"/>
      <w:marBottom w:val="0"/>
      <w:divBdr>
        <w:top w:val="none" w:sz="0" w:space="0" w:color="auto"/>
        <w:left w:val="none" w:sz="0" w:space="0" w:color="auto"/>
        <w:bottom w:val="none" w:sz="0" w:space="0" w:color="auto"/>
        <w:right w:val="none" w:sz="0" w:space="0" w:color="auto"/>
      </w:divBdr>
    </w:div>
    <w:div w:id="1395544001">
      <w:bodyDiv w:val="1"/>
      <w:marLeft w:val="0"/>
      <w:marRight w:val="0"/>
      <w:marTop w:val="0"/>
      <w:marBottom w:val="0"/>
      <w:divBdr>
        <w:top w:val="none" w:sz="0" w:space="0" w:color="auto"/>
        <w:left w:val="none" w:sz="0" w:space="0" w:color="auto"/>
        <w:bottom w:val="none" w:sz="0" w:space="0" w:color="auto"/>
        <w:right w:val="none" w:sz="0" w:space="0" w:color="auto"/>
      </w:divBdr>
    </w:div>
    <w:div w:id="1426612879">
      <w:bodyDiv w:val="1"/>
      <w:marLeft w:val="0"/>
      <w:marRight w:val="0"/>
      <w:marTop w:val="0"/>
      <w:marBottom w:val="0"/>
      <w:divBdr>
        <w:top w:val="none" w:sz="0" w:space="0" w:color="auto"/>
        <w:left w:val="none" w:sz="0" w:space="0" w:color="auto"/>
        <w:bottom w:val="none" w:sz="0" w:space="0" w:color="auto"/>
        <w:right w:val="none" w:sz="0" w:space="0" w:color="auto"/>
      </w:divBdr>
    </w:div>
    <w:div w:id="1468812875">
      <w:bodyDiv w:val="1"/>
      <w:marLeft w:val="0"/>
      <w:marRight w:val="0"/>
      <w:marTop w:val="0"/>
      <w:marBottom w:val="0"/>
      <w:divBdr>
        <w:top w:val="none" w:sz="0" w:space="0" w:color="auto"/>
        <w:left w:val="none" w:sz="0" w:space="0" w:color="auto"/>
        <w:bottom w:val="none" w:sz="0" w:space="0" w:color="auto"/>
        <w:right w:val="none" w:sz="0" w:space="0" w:color="auto"/>
      </w:divBdr>
    </w:div>
    <w:div w:id="1685743913">
      <w:bodyDiv w:val="1"/>
      <w:marLeft w:val="0"/>
      <w:marRight w:val="0"/>
      <w:marTop w:val="0"/>
      <w:marBottom w:val="0"/>
      <w:divBdr>
        <w:top w:val="none" w:sz="0" w:space="0" w:color="auto"/>
        <w:left w:val="none" w:sz="0" w:space="0" w:color="auto"/>
        <w:bottom w:val="none" w:sz="0" w:space="0" w:color="auto"/>
        <w:right w:val="none" w:sz="0" w:space="0" w:color="auto"/>
      </w:divBdr>
    </w:div>
    <w:div w:id="1693529206">
      <w:bodyDiv w:val="1"/>
      <w:marLeft w:val="0"/>
      <w:marRight w:val="0"/>
      <w:marTop w:val="0"/>
      <w:marBottom w:val="0"/>
      <w:divBdr>
        <w:top w:val="none" w:sz="0" w:space="0" w:color="auto"/>
        <w:left w:val="none" w:sz="0" w:space="0" w:color="auto"/>
        <w:bottom w:val="none" w:sz="0" w:space="0" w:color="auto"/>
        <w:right w:val="none" w:sz="0" w:space="0" w:color="auto"/>
      </w:divBdr>
    </w:div>
    <w:div w:id="1712338151">
      <w:bodyDiv w:val="1"/>
      <w:marLeft w:val="0"/>
      <w:marRight w:val="0"/>
      <w:marTop w:val="0"/>
      <w:marBottom w:val="0"/>
      <w:divBdr>
        <w:top w:val="none" w:sz="0" w:space="0" w:color="auto"/>
        <w:left w:val="none" w:sz="0" w:space="0" w:color="auto"/>
        <w:bottom w:val="none" w:sz="0" w:space="0" w:color="auto"/>
        <w:right w:val="none" w:sz="0" w:space="0" w:color="auto"/>
      </w:divBdr>
    </w:div>
    <w:div w:id="1722048804">
      <w:bodyDiv w:val="1"/>
      <w:marLeft w:val="0"/>
      <w:marRight w:val="0"/>
      <w:marTop w:val="0"/>
      <w:marBottom w:val="0"/>
      <w:divBdr>
        <w:top w:val="none" w:sz="0" w:space="0" w:color="auto"/>
        <w:left w:val="none" w:sz="0" w:space="0" w:color="auto"/>
        <w:bottom w:val="none" w:sz="0" w:space="0" w:color="auto"/>
        <w:right w:val="none" w:sz="0" w:space="0" w:color="auto"/>
      </w:divBdr>
    </w:div>
    <w:div w:id="1738550223">
      <w:bodyDiv w:val="1"/>
      <w:marLeft w:val="0"/>
      <w:marRight w:val="0"/>
      <w:marTop w:val="0"/>
      <w:marBottom w:val="0"/>
      <w:divBdr>
        <w:top w:val="none" w:sz="0" w:space="0" w:color="auto"/>
        <w:left w:val="none" w:sz="0" w:space="0" w:color="auto"/>
        <w:bottom w:val="none" w:sz="0" w:space="0" w:color="auto"/>
        <w:right w:val="none" w:sz="0" w:space="0" w:color="auto"/>
      </w:divBdr>
    </w:div>
    <w:div w:id="1770539841">
      <w:bodyDiv w:val="1"/>
      <w:marLeft w:val="0"/>
      <w:marRight w:val="0"/>
      <w:marTop w:val="0"/>
      <w:marBottom w:val="0"/>
      <w:divBdr>
        <w:top w:val="none" w:sz="0" w:space="0" w:color="auto"/>
        <w:left w:val="none" w:sz="0" w:space="0" w:color="auto"/>
        <w:bottom w:val="none" w:sz="0" w:space="0" w:color="auto"/>
        <w:right w:val="none" w:sz="0" w:space="0" w:color="auto"/>
      </w:divBdr>
    </w:div>
    <w:div w:id="1781754367">
      <w:bodyDiv w:val="1"/>
      <w:marLeft w:val="0"/>
      <w:marRight w:val="0"/>
      <w:marTop w:val="0"/>
      <w:marBottom w:val="0"/>
      <w:divBdr>
        <w:top w:val="none" w:sz="0" w:space="0" w:color="auto"/>
        <w:left w:val="none" w:sz="0" w:space="0" w:color="auto"/>
        <w:bottom w:val="none" w:sz="0" w:space="0" w:color="auto"/>
        <w:right w:val="none" w:sz="0" w:space="0" w:color="auto"/>
      </w:divBdr>
    </w:div>
    <w:div w:id="1790973227">
      <w:bodyDiv w:val="1"/>
      <w:marLeft w:val="0"/>
      <w:marRight w:val="0"/>
      <w:marTop w:val="0"/>
      <w:marBottom w:val="0"/>
      <w:divBdr>
        <w:top w:val="none" w:sz="0" w:space="0" w:color="auto"/>
        <w:left w:val="none" w:sz="0" w:space="0" w:color="auto"/>
        <w:bottom w:val="none" w:sz="0" w:space="0" w:color="auto"/>
        <w:right w:val="none" w:sz="0" w:space="0" w:color="auto"/>
      </w:divBdr>
    </w:div>
    <w:div w:id="1793984301">
      <w:bodyDiv w:val="1"/>
      <w:marLeft w:val="0"/>
      <w:marRight w:val="0"/>
      <w:marTop w:val="0"/>
      <w:marBottom w:val="0"/>
      <w:divBdr>
        <w:top w:val="none" w:sz="0" w:space="0" w:color="auto"/>
        <w:left w:val="none" w:sz="0" w:space="0" w:color="auto"/>
        <w:bottom w:val="none" w:sz="0" w:space="0" w:color="auto"/>
        <w:right w:val="none" w:sz="0" w:space="0" w:color="auto"/>
      </w:divBdr>
    </w:div>
    <w:div w:id="1815364924">
      <w:bodyDiv w:val="1"/>
      <w:marLeft w:val="0"/>
      <w:marRight w:val="0"/>
      <w:marTop w:val="0"/>
      <w:marBottom w:val="0"/>
      <w:divBdr>
        <w:top w:val="none" w:sz="0" w:space="0" w:color="auto"/>
        <w:left w:val="none" w:sz="0" w:space="0" w:color="auto"/>
        <w:bottom w:val="none" w:sz="0" w:space="0" w:color="auto"/>
        <w:right w:val="none" w:sz="0" w:space="0" w:color="auto"/>
      </w:divBdr>
    </w:div>
    <w:div w:id="1818648454">
      <w:bodyDiv w:val="1"/>
      <w:marLeft w:val="0"/>
      <w:marRight w:val="0"/>
      <w:marTop w:val="0"/>
      <w:marBottom w:val="0"/>
      <w:divBdr>
        <w:top w:val="none" w:sz="0" w:space="0" w:color="auto"/>
        <w:left w:val="none" w:sz="0" w:space="0" w:color="auto"/>
        <w:bottom w:val="none" w:sz="0" w:space="0" w:color="auto"/>
        <w:right w:val="none" w:sz="0" w:space="0" w:color="auto"/>
      </w:divBdr>
    </w:div>
    <w:div w:id="1832478533">
      <w:bodyDiv w:val="1"/>
      <w:marLeft w:val="0"/>
      <w:marRight w:val="0"/>
      <w:marTop w:val="0"/>
      <w:marBottom w:val="0"/>
      <w:divBdr>
        <w:top w:val="none" w:sz="0" w:space="0" w:color="auto"/>
        <w:left w:val="none" w:sz="0" w:space="0" w:color="auto"/>
        <w:bottom w:val="none" w:sz="0" w:space="0" w:color="auto"/>
        <w:right w:val="none" w:sz="0" w:space="0" w:color="auto"/>
      </w:divBdr>
    </w:div>
    <w:div w:id="1852334265">
      <w:bodyDiv w:val="1"/>
      <w:marLeft w:val="0"/>
      <w:marRight w:val="0"/>
      <w:marTop w:val="0"/>
      <w:marBottom w:val="0"/>
      <w:divBdr>
        <w:top w:val="none" w:sz="0" w:space="0" w:color="auto"/>
        <w:left w:val="none" w:sz="0" w:space="0" w:color="auto"/>
        <w:bottom w:val="none" w:sz="0" w:space="0" w:color="auto"/>
        <w:right w:val="none" w:sz="0" w:space="0" w:color="auto"/>
      </w:divBdr>
    </w:div>
    <w:div w:id="2015691655">
      <w:bodyDiv w:val="1"/>
      <w:marLeft w:val="0"/>
      <w:marRight w:val="0"/>
      <w:marTop w:val="0"/>
      <w:marBottom w:val="0"/>
      <w:divBdr>
        <w:top w:val="none" w:sz="0" w:space="0" w:color="auto"/>
        <w:left w:val="none" w:sz="0" w:space="0" w:color="auto"/>
        <w:bottom w:val="none" w:sz="0" w:space="0" w:color="auto"/>
        <w:right w:val="none" w:sz="0" w:space="0" w:color="auto"/>
      </w:divBdr>
    </w:div>
    <w:div w:id="2026327800">
      <w:bodyDiv w:val="1"/>
      <w:marLeft w:val="0"/>
      <w:marRight w:val="0"/>
      <w:marTop w:val="0"/>
      <w:marBottom w:val="0"/>
      <w:divBdr>
        <w:top w:val="none" w:sz="0" w:space="0" w:color="auto"/>
        <w:left w:val="none" w:sz="0" w:space="0" w:color="auto"/>
        <w:bottom w:val="none" w:sz="0" w:space="0" w:color="auto"/>
        <w:right w:val="none" w:sz="0" w:space="0" w:color="auto"/>
      </w:divBdr>
    </w:div>
    <w:div w:id="2052995836">
      <w:bodyDiv w:val="1"/>
      <w:marLeft w:val="0"/>
      <w:marRight w:val="0"/>
      <w:marTop w:val="0"/>
      <w:marBottom w:val="0"/>
      <w:divBdr>
        <w:top w:val="none" w:sz="0" w:space="0" w:color="auto"/>
        <w:left w:val="none" w:sz="0" w:space="0" w:color="auto"/>
        <w:bottom w:val="none" w:sz="0" w:space="0" w:color="auto"/>
        <w:right w:val="none" w:sz="0" w:space="0" w:color="auto"/>
      </w:divBdr>
    </w:div>
    <w:div w:id="2100707904">
      <w:bodyDiv w:val="1"/>
      <w:marLeft w:val="0"/>
      <w:marRight w:val="0"/>
      <w:marTop w:val="0"/>
      <w:marBottom w:val="0"/>
      <w:divBdr>
        <w:top w:val="none" w:sz="0" w:space="0" w:color="auto"/>
        <w:left w:val="none" w:sz="0" w:space="0" w:color="auto"/>
        <w:bottom w:val="none" w:sz="0" w:space="0" w:color="auto"/>
        <w:right w:val="none" w:sz="0" w:space="0" w:color="auto"/>
      </w:divBdr>
    </w:div>
    <w:div w:id="214310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40CE-4906-1447-B665-7495463717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14</Pages>
  <Words>4153</Words>
  <Characters>23677</Characters>
  <Application>Microsoft Office Word</Application>
  <DocSecurity>0</DocSecurity>
  <Lines>197</Lines>
  <Paragraphs>55</Paragraphs>
  <ScaleCrop>false</ScaleCrop>
  <Company/>
  <LinksUpToDate>false</LinksUpToDate>
  <CharactersWithSpaces>27775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占 赵</dc:creator>
  <cp:keywords/>
  <dc:description/>
  <cp:lastModifiedBy>占 赵</cp:lastModifiedBy>
  <cp:revision>6</cp:revision>
  <dcterms:created xsi:type="dcterms:W3CDTF">2026-05-08T15:02:00Z</dcterms:created>
  <dcterms:modified xsi:type="dcterms:W3CDTF">2026-05-08T21:49:00Z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id="qGXJ3FCA"/&gt;&lt;style id="http://www.zotero.org/styles/nlm-citation-sequence" locale="en-US"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