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100" w:beforeAutospacing="1" w:after="100" w:afterAutospacing="1" w:line="240" w:lineRule="auto"/>
        <w:jc w:val="center"/>
      </w:pPr>
      <w:r>
        <w:t>AADE000306</w:t>
      </w:r>
      <w:r>
        <w:rPr>
          <w:rFonts w:hint="eastAsia"/>
        </w:rPr>
        <w:t>_V1 发布测试</w:t>
      </w:r>
    </w:p>
    <w:p>
      <w:pPr>
        <w:pStyle w:val="3"/>
      </w:pPr>
      <w:r>
        <w:rPr>
          <w:rFonts w:hint="eastAsia"/>
        </w:rPr>
        <w:t>发布升级背景</w:t>
      </w:r>
    </w:p>
    <w:tbl>
      <w:tblPr>
        <w:tblStyle w:val="13"/>
        <w:tblW w:w="8168" w:type="dxa"/>
        <w:tblInd w:w="118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6"/>
        <w:gridCol w:w="6482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686" w:type="dxa"/>
            <w:shd w:val="clear" w:color="000000" w:fill="92D050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业务类型</w:t>
            </w:r>
          </w:p>
        </w:tc>
        <w:tc>
          <w:tcPr>
            <w:tcW w:w="6482" w:type="dxa"/>
            <w:shd w:val="clear" w:color="000000" w:fill="92D050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业务说明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1686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行情接口</w:t>
            </w:r>
          </w:p>
        </w:tc>
        <w:tc>
          <w:tcPr>
            <w:tcW w:w="6482" w:type="dxa"/>
            <w:shd w:val="clear" w:color="auto" w:fill="auto"/>
            <w:vAlign w:val="center"/>
          </w:tcPr>
          <w:p>
            <w:pPr>
              <w:pStyle w:val="18"/>
              <w:widowControl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增加中</w:t>
            </w:r>
            <w:r>
              <w:t>证数据来源</w:t>
            </w:r>
            <w:r>
              <w:rPr>
                <w:rFonts w:hint="eastAsia"/>
              </w:rPr>
              <w:t>限售</w:t>
            </w:r>
            <w:r>
              <w:t>折扣率</w:t>
            </w:r>
            <w:r>
              <w:rPr>
                <w:rFonts w:hint="eastAsia"/>
              </w:rPr>
              <w:t>的</w:t>
            </w:r>
            <w:r>
              <w:t>导入</w:t>
            </w:r>
          </w:p>
          <w:p>
            <w:pPr>
              <w:pStyle w:val="18"/>
              <w:widowControl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  <w:lang w:eastAsia="zh-CN"/>
              </w:rPr>
              <w:t>增加中证受限股票基本信息的导入</w:t>
            </w:r>
            <w:r>
              <w:rPr>
                <w:rFonts w:hint="eastAsia"/>
                <w:lang w:val="en-US" w:eastAsia="zh-CN"/>
              </w:rPr>
              <w:t>(v1)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1686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公告接口</w:t>
            </w:r>
          </w:p>
        </w:tc>
        <w:tc>
          <w:tcPr>
            <w:tcW w:w="6482" w:type="dxa"/>
            <w:shd w:val="clear" w:color="auto" w:fill="auto"/>
            <w:vAlign w:val="center"/>
          </w:tcPr>
          <w:p>
            <w:pPr>
              <w:pStyle w:val="18"/>
              <w:widowControl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增加中</w:t>
            </w:r>
            <w:r>
              <w:t>证数据来源</w:t>
            </w:r>
            <w:r>
              <w:rPr>
                <w:rFonts w:hint="eastAsia"/>
              </w:rPr>
              <w:t>限售截止</w:t>
            </w:r>
            <w:r>
              <w:t>日公告导入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1686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对比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报表</w:t>
            </w:r>
          </w:p>
        </w:tc>
        <w:tc>
          <w:tcPr>
            <w:tcW w:w="6482" w:type="dxa"/>
            <w:shd w:val="clear" w:color="auto" w:fill="auto"/>
            <w:vAlign w:val="center"/>
          </w:tcPr>
          <w:p>
            <w:pPr>
              <w:pStyle w:val="18"/>
              <w:widowControl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新增限售股估值对比界面，用于核对GP</w:t>
            </w:r>
            <w:r>
              <w:t>3持仓的截至日期和行情中的截至日期是否一致，行情中提供中证和中债两个市场的截止日期，通过GP3持仓提供的组合属性，和中债或者中证市场核对截至日期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1686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t>初始锁定期维护</w:t>
            </w:r>
          </w:p>
        </w:tc>
        <w:tc>
          <w:tcPr>
            <w:tcW w:w="6482" w:type="dxa"/>
            <w:shd w:val="clear" w:color="auto" w:fill="auto"/>
            <w:vAlign w:val="center"/>
          </w:tcPr>
          <w:p>
            <w:pPr>
              <w:pStyle w:val="18"/>
              <w:widowControl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支持</w:t>
            </w:r>
            <w:r>
              <w:t>初始锁定期交易导入，导入文件命名规则Manual_Lockperiod_XXXXXXXX.xls，XXXXXXXX是</w:t>
            </w:r>
            <w:r>
              <w:rPr>
                <w:rFonts w:hint="eastAsia"/>
              </w:rPr>
              <w:t>8位日期</w:t>
            </w:r>
          </w:p>
        </w:tc>
      </w:tr>
    </w:tbl>
    <w:p>
      <w:pPr>
        <w:rPr>
          <w:sz w:val="24"/>
          <w:szCs w:val="24"/>
        </w:rPr>
      </w:pPr>
    </w:p>
    <w:p>
      <w:pPr>
        <w:rPr>
          <w:b/>
          <w:i/>
          <w:color w:val="FF0000"/>
        </w:rPr>
      </w:pPr>
      <w:r>
        <w:rPr>
          <w:rFonts w:hint="eastAsia"/>
          <w:b/>
          <w:i/>
          <w:color w:val="FF0000"/>
        </w:rPr>
        <w:t>[补充</w:t>
      </w:r>
      <w:r>
        <w:rPr>
          <w:b/>
          <w:i/>
          <w:color w:val="FF0000"/>
        </w:rPr>
        <w:t>业务操作相关内容]</w:t>
      </w:r>
    </w:p>
    <w:p>
      <w:pPr>
        <w:numPr>
          <w:ilvl w:val="0"/>
          <w:numId w:val="2"/>
        </w:numPr>
        <w:rPr>
          <w:b/>
          <w:color w:val="FF0000"/>
        </w:rPr>
      </w:pPr>
      <w:r>
        <w:rPr>
          <w:rFonts w:hint="eastAsia"/>
          <w:b/>
          <w:color w:val="FF0000"/>
        </w:rPr>
        <w:t>行情</w:t>
      </w:r>
      <w:r>
        <w:rPr>
          <w:b/>
          <w:color w:val="FF0000"/>
        </w:rPr>
        <w:t>导入界面中添加</w:t>
      </w:r>
      <w:r>
        <w:rPr>
          <w:rFonts w:hint="eastAsia"/>
          <w:b/>
          <w:color w:val="FF0000"/>
        </w:rPr>
        <w:t>中</w:t>
      </w:r>
      <w:r>
        <w:rPr>
          <w:b/>
          <w:color w:val="FF0000"/>
        </w:rPr>
        <w:t>证</w:t>
      </w:r>
      <w:r>
        <w:rPr>
          <w:rFonts w:hint="eastAsia"/>
          <w:b/>
          <w:color w:val="FF0000"/>
        </w:rPr>
        <w:t>受限股票流动</w:t>
      </w:r>
      <w:r>
        <w:rPr>
          <w:b/>
          <w:color w:val="FF0000"/>
        </w:rPr>
        <w:t>性折扣</w:t>
      </w:r>
    </w:p>
    <w:p>
      <w:pPr>
        <w:ind w:firstLine="630" w:firstLineChars="300"/>
        <w:rPr>
          <w:sz w:val="24"/>
          <w:szCs w:val="24"/>
        </w:rPr>
      </w:pPr>
      <w:r>
        <w:drawing>
          <wp:inline distT="0" distB="0" distL="0" distR="0">
            <wp:extent cx="4572000" cy="19958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2252" cy="19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</w:pPr>
      <w:r>
        <w:rPr>
          <w:rFonts w:hint="eastAsia"/>
        </w:rPr>
        <w:t>通过</w:t>
      </w:r>
      <w:r>
        <w:t>选择</w:t>
      </w:r>
      <w:r>
        <w:rPr>
          <w:rFonts w:hint="eastAsia"/>
        </w:rPr>
        <w:t>【</w:t>
      </w:r>
      <w:r>
        <w:rPr>
          <w:rFonts w:hint="eastAsia"/>
          <w:b/>
          <w:color w:val="FF0000"/>
        </w:rPr>
        <w:t>中</w:t>
      </w:r>
      <w:r>
        <w:rPr>
          <w:b/>
          <w:color w:val="FF0000"/>
        </w:rPr>
        <w:t>证受限股票流动性折扣</w:t>
      </w:r>
      <w:r>
        <w:rPr>
          <w:rFonts w:hint="eastAsia"/>
        </w:rPr>
        <w:t>】、</w:t>
      </w:r>
    </w:p>
    <w:p>
      <w:pPr>
        <w:ind w:left="720"/>
      </w:pPr>
      <w:r>
        <w:rPr>
          <w:rFonts w:hint="eastAsia"/>
        </w:rPr>
        <w:t>注</w:t>
      </w:r>
      <w:r>
        <w:t>：</w:t>
      </w:r>
      <w:r>
        <w:rPr>
          <w:rFonts w:hint="eastAsia"/>
        </w:rPr>
        <w:t>选择2017</w:t>
      </w:r>
      <w:r>
        <w:t>1012nts</w:t>
      </w:r>
      <w:r>
        <w:rPr>
          <w:rFonts w:hint="eastAsia"/>
        </w:rPr>
        <w:t>_liq_dis.</w:t>
      </w:r>
      <w:r>
        <w:t>txt</w:t>
      </w:r>
      <w:r>
        <w:rPr>
          <w:rFonts w:hint="eastAsia"/>
        </w:rPr>
        <w:t>文件</w:t>
      </w:r>
      <w:r>
        <w:t>进行导入。</w:t>
      </w:r>
    </w:p>
    <w:p>
      <w:pPr>
        <w:ind w:left="720"/>
      </w:pPr>
    </w:p>
    <w:p>
      <w:pPr>
        <w:numPr>
          <w:ilvl w:val="0"/>
          <w:numId w:val="2"/>
        </w:numPr>
        <w:rPr>
          <w:rFonts w:hint="eastAsia"/>
          <w:b/>
          <w:color w:val="FF0000"/>
          <w:lang w:val="en-US" w:eastAsia="zh-CN"/>
        </w:rPr>
      </w:pPr>
      <w:r>
        <w:rPr>
          <w:rFonts w:hint="eastAsia"/>
          <w:b/>
          <w:color w:val="FF0000"/>
        </w:rPr>
        <w:t>行情导入界面中添加</w:t>
      </w:r>
      <w:r>
        <w:rPr>
          <w:rFonts w:hint="eastAsia"/>
          <w:b/>
          <w:color w:val="FF0000"/>
          <w:lang w:eastAsia="zh-CN"/>
        </w:rPr>
        <w:t>中证受限股票基本信息（</w:t>
      </w:r>
      <w:r>
        <w:rPr>
          <w:rFonts w:hint="eastAsia"/>
          <w:b/>
          <w:color w:val="FF0000"/>
          <w:lang w:val="en-US" w:eastAsia="zh-CN"/>
        </w:rPr>
        <w:t>V1版本增加</w:t>
      </w:r>
      <w:r>
        <w:rPr>
          <w:rFonts w:hint="eastAsia"/>
          <w:b/>
          <w:color w:val="FF0000"/>
          <w:lang w:eastAsia="zh-CN"/>
        </w:rPr>
        <w:t>）</w:t>
      </w:r>
    </w:p>
    <w:p>
      <w:pPr>
        <w:numPr>
          <w:ilvl w:val="0"/>
          <w:numId w:val="0"/>
        </w:numPr>
        <w:ind w:left="360" w:leftChars="0"/>
        <w:rPr>
          <w:rFonts w:hint="eastAsia"/>
          <w:b/>
          <w:color w:val="FF0000"/>
          <w:lang w:val="en-US" w:eastAsia="zh-CN"/>
        </w:rPr>
      </w:pPr>
      <w:r>
        <w:rPr>
          <w:rFonts w:hint="eastAsia"/>
          <w:b/>
          <w:color w:val="FF0000"/>
          <w:lang w:val="en-US" w:eastAsia="zh-CN"/>
        </w:rPr>
        <w:t xml:space="preserve"> </w:t>
      </w:r>
      <w:r>
        <w:drawing>
          <wp:inline distT="0" distB="0" distL="114300" distR="114300">
            <wp:extent cx="5273040" cy="1036320"/>
            <wp:effectExtent l="0" t="0" r="3810" b="1143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3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840" w:firstLineChars="400"/>
        <w:rPr>
          <w:rFonts w:hint="eastAsia"/>
          <w:b/>
          <w:color w:val="FF0000"/>
          <w:lang w:val="en-US" w:eastAsia="zh-CN"/>
        </w:rPr>
      </w:pPr>
      <w:r>
        <w:rPr>
          <w:rFonts w:hint="eastAsia"/>
          <w:lang w:val="en-US" w:eastAsia="zh-CN"/>
        </w:rPr>
        <w:t>通过选择</w:t>
      </w:r>
      <w:r>
        <w:rPr>
          <w:rFonts w:hint="eastAsia"/>
          <w:b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【</w:t>
      </w:r>
      <w:r>
        <w:rPr>
          <w:rFonts w:hint="eastAsia"/>
          <w:b/>
          <w:color w:val="FF0000"/>
          <w:lang w:eastAsia="zh-CN"/>
        </w:rPr>
        <w:t>中证受限股票基本信息</w:t>
      </w:r>
      <w:r>
        <w:rPr>
          <w:rFonts w:hint="eastAsia"/>
          <w:b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】、</w:t>
      </w:r>
    </w:p>
    <w:p>
      <w:pPr>
        <w:ind w:left="7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注：选择20180818nts_basic.txt文件进行导入。</w:t>
      </w:r>
    </w:p>
    <w:p>
      <w:pPr>
        <w:ind w:left="72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b/>
          <w:color w:val="FF0000"/>
        </w:rPr>
      </w:pPr>
      <w:r>
        <w:rPr>
          <w:rFonts w:hint="eastAsia"/>
          <w:b/>
          <w:color w:val="FF0000"/>
        </w:rPr>
        <w:t>行情导出</w:t>
      </w:r>
      <w:r>
        <w:rPr>
          <w:b/>
          <w:color w:val="FF0000"/>
        </w:rPr>
        <w:t>界面中添加</w:t>
      </w:r>
      <w:r>
        <w:rPr>
          <w:rFonts w:hint="eastAsia"/>
          <w:b/>
          <w:color w:val="FF0000"/>
        </w:rPr>
        <w:t>中</w:t>
      </w:r>
      <w:r>
        <w:rPr>
          <w:b/>
          <w:color w:val="FF0000"/>
        </w:rPr>
        <w:t>证</w:t>
      </w:r>
      <w:r>
        <w:rPr>
          <w:rFonts w:hint="eastAsia"/>
          <w:b/>
          <w:color w:val="FF0000"/>
        </w:rPr>
        <w:t>受限股票流动</w:t>
      </w:r>
      <w:r>
        <w:rPr>
          <w:b/>
          <w:color w:val="FF0000"/>
        </w:rPr>
        <w:t>性折扣</w:t>
      </w:r>
    </w:p>
    <w:p>
      <w:pPr>
        <w:ind w:left="720"/>
      </w:pPr>
      <w:r>
        <w:drawing>
          <wp:inline distT="0" distB="0" distL="0" distR="0">
            <wp:extent cx="5274310" cy="25044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</w:pPr>
      <w:r>
        <w:rPr>
          <w:rFonts w:hint="eastAsia"/>
        </w:rPr>
        <w:t>通过</w:t>
      </w:r>
      <w:r>
        <w:t>选择：【</w:t>
      </w:r>
      <w:r>
        <w:rPr>
          <w:rFonts w:hint="eastAsia"/>
          <w:b/>
          <w:color w:val="FF0000"/>
        </w:rPr>
        <w:t>中</w:t>
      </w:r>
      <w:r>
        <w:rPr>
          <w:b/>
          <w:color w:val="FF0000"/>
        </w:rPr>
        <w:t>证限售</w:t>
      </w:r>
      <w:r>
        <w:rPr>
          <w:rFonts w:hint="eastAsia"/>
          <w:b/>
          <w:color w:val="FF0000"/>
        </w:rPr>
        <w:t>流通</w:t>
      </w:r>
      <w:r>
        <w:rPr>
          <w:b/>
          <w:color w:val="FF0000"/>
        </w:rPr>
        <w:t>因子</w:t>
      </w:r>
      <w:r>
        <w:t>】</w:t>
      </w:r>
      <w:r>
        <w:rPr>
          <w:rFonts w:hint="eastAsia"/>
        </w:rPr>
        <w:t>，</w:t>
      </w:r>
      <w:r>
        <w:t>进行查询和导出</w:t>
      </w:r>
      <w:r>
        <w:rPr>
          <w:rFonts w:hint="eastAsia"/>
        </w:rPr>
        <w:t>。</w:t>
      </w:r>
    </w:p>
    <w:p>
      <w:pPr>
        <w:ind w:left="720"/>
      </w:pPr>
    </w:p>
    <w:p>
      <w:pPr>
        <w:numPr>
          <w:ilvl w:val="0"/>
          <w:numId w:val="2"/>
        </w:numPr>
        <w:rPr>
          <w:b/>
          <w:color w:val="FF0000"/>
        </w:rPr>
      </w:pPr>
      <w:r>
        <w:rPr>
          <w:rFonts w:hint="eastAsia"/>
          <w:b/>
          <w:color w:val="FF0000"/>
        </w:rPr>
        <w:t>增加</w:t>
      </w:r>
      <w:r>
        <w:rPr>
          <w:b/>
          <w:color w:val="FF0000"/>
        </w:rPr>
        <w:t>中证中债限售流通估值对比</w:t>
      </w:r>
      <w:r>
        <w:rPr>
          <w:rFonts w:hint="eastAsia"/>
          <w:b/>
          <w:color w:val="FF0000"/>
        </w:rPr>
        <w:t>界面</w:t>
      </w:r>
    </w:p>
    <w:p>
      <w:pPr>
        <w:pStyle w:val="18"/>
        <w:ind w:left="720" w:firstLine="0" w:firstLineChars="0"/>
      </w:pPr>
      <w:r>
        <w:t>菜单：用户信息管理-角色管理</w:t>
      </w:r>
      <w:r>
        <w:rPr>
          <w:rFonts w:hint="eastAsia"/>
        </w:rPr>
        <w:t>【配置</w:t>
      </w:r>
      <w:r>
        <w:t>权限</w:t>
      </w:r>
      <w:r>
        <w:rPr>
          <w:rFonts w:hint="eastAsia"/>
        </w:rPr>
        <w:t>】</w:t>
      </w:r>
    </w:p>
    <w:p>
      <w:pPr>
        <w:pStyle w:val="18"/>
        <w:ind w:left="720" w:firstLine="0" w:firstLineChars="0"/>
      </w:pPr>
      <w:r>
        <w:drawing>
          <wp:inline distT="0" distB="0" distL="0" distR="0">
            <wp:extent cx="2996565" cy="3467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7655" cy="346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ind w:left="720" w:firstLine="0" w:firstLineChars="0"/>
      </w:pPr>
      <w:r>
        <w:t>菜单：公共数据导出-限售股查询比对</w:t>
      </w:r>
    </w:p>
    <w:p>
      <w:pPr>
        <w:pStyle w:val="18"/>
        <w:ind w:left="720" w:firstLine="0" w:firstLineChars="0"/>
      </w:pPr>
    </w:p>
    <w:p>
      <w:pPr>
        <w:pStyle w:val="18"/>
        <w:ind w:left="72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V1版本发布前：</w:t>
      </w:r>
    </w:p>
    <w:p>
      <w:pPr>
        <w:pStyle w:val="18"/>
        <w:ind w:left="720" w:firstLine="0" w:firstLineChars="0"/>
      </w:pPr>
      <w:r>
        <w:t>估值日期：</w:t>
      </w:r>
      <w:r>
        <w:rPr>
          <w:rFonts w:hint="eastAsia"/>
        </w:rPr>
        <w:t>20171010</w:t>
      </w:r>
    </w:p>
    <w:p>
      <w:pPr>
        <w:pStyle w:val="18"/>
        <w:ind w:left="720" w:firstLine="0" w:firstLineChars="0"/>
      </w:pPr>
      <w:r>
        <w:drawing>
          <wp:inline distT="0" distB="0" distL="0" distR="0">
            <wp:extent cx="5274310" cy="24511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ind w:left="720" w:firstLine="0" w:firstLineChars="0"/>
      </w:pPr>
      <w:r>
        <w:rPr>
          <w:rFonts w:hint="eastAsia"/>
        </w:rPr>
        <w:t>填写</w:t>
      </w:r>
      <w:r>
        <w:t>估值日，并对于估值日持仓进行对比。</w:t>
      </w:r>
    </w:p>
    <w:p>
      <w:pPr>
        <w:pStyle w:val="18"/>
        <w:ind w:left="720" w:firstLine="0" w:firstLineChars="0"/>
      </w:pPr>
    </w:p>
    <w:p>
      <w:pPr>
        <w:pStyle w:val="18"/>
        <w:ind w:left="72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V1版本发布后：</w:t>
      </w:r>
    </w:p>
    <w:p>
      <w:pPr>
        <w:pStyle w:val="18"/>
        <w:ind w:left="720" w:firstLine="0" w:firstLineChars="0"/>
      </w:pPr>
    </w:p>
    <w:p>
      <w:pPr>
        <w:pStyle w:val="18"/>
        <w:ind w:left="72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需要先在行情导入界面导入中证受限股票基本信息</w:t>
      </w:r>
    </w:p>
    <w:p>
      <w:pPr>
        <w:pStyle w:val="18"/>
        <w:ind w:left="720" w:firstLine="0" w:firstLineChars="0"/>
        <w:rPr>
          <w:rFonts w:hint="eastAsia" w:eastAsiaTheme="minorEastAsia"/>
          <w:lang w:val="en-US" w:eastAsia="zh-CN"/>
        </w:rPr>
      </w:pPr>
      <w:r>
        <w:t>估值日期：</w:t>
      </w:r>
      <w:r>
        <w:rPr>
          <w:rFonts w:hint="eastAsia"/>
        </w:rPr>
        <w:t>2017</w:t>
      </w:r>
      <w:r>
        <w:rPr>
          <w:rFonts w:hint="eastAsia"/>
          <w:lang w:val="en-US" w:eastAsia="zh-CN"/>
        </w:rPr>
        <w:t>0818</w:t>
      </w:r>
    </w:p>
    <w:p>
      <w:pPr>
        <w:pStyle w:val="18"/>
        <w:ind w:left="720" w:firstLine="0" w:firstLineChars="0"/>
      </w:pPr>
      <w:r>
        <w:drawing>
          <wp:inline distT="0" distB="0" distL="114300" distR="114300">
            <wp:extent cx="5273675" cy="1330960"/>
            <wp:effectExtent l="0" t="0" r="3175" b="254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720" w:firstLine="0" w:firstLineChars="0"/>
      </w:pPr>
      <w:r>
        <w:drawing>
          <wp:inline distT="0" distB="0" distL="114300" distR="114300">
            <wp:extent cx="5263515" cy="2113280"/>
            <wp:effectExtent l="0" t="0" r="13335" b="127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720" w:firstLine="0" w:firstLineChars="0"/>
      </w:pPr>
      <w:r>
        <w:rPr>
          <w:rFonts w:hint="eastAsia"/>
        </w:rPr>
        <w:t>填写</w:t>
      </w:r>
      <w:r>
        <w:t>估值日，并对于估值日持仓进行对比。</w:t>
      </w:r>
    </w:p>
    <w:p>
      <w:pPr>
        <w:pStyle w:val="18"/>
        <w:ind w:left="720" w:firstLine="0" w:firstLineChars="0"/>
      </w:pPr>
    </w:p>
    <w:p>
      <w:pPr>
        <w:numPr>
          <w:ilvl w:val="0"/>
          <w:numId w:val="2"/>
        </w:numPr>
        <w:rPr>
          <w:b/>
          <w:color w:val="FF0000"/>
        </w:rPr>
      </w:pPr>
      <w:r>
        <w:rPr>
          <w:rFonts w:hint="eastAsia"/>
          <w:b/>
          <w:color w:val="FF0000"/>
        </w:rPr>
        <w:t>增加持仓</w:t>
      </w:r>
      <w:r>
        <w:rPr>
          <w:b/>
          <w:color w:val="FF0000"/>
        </w:rPr>
        <w:t>状态修改，</w:t>
      </w:r>
      <w:r>
        <w:rPr>
          <w:rFonts w:hint="eastAsia"/>
          <w:b/>
          <w:color w:val="FF0000"/>
        </w:rPr>
        <w:t>公司行为</w:t>
      </w:r>
      <w:r>
        <w:rPr>
          <w:b/>
          <w:color w:val="FF0000"/>
        </w:rPr>
        <w:t>证券交易</w:t>
      </w:r>
    </w:p>
    <w:p>
      <w:pPr>
        <w:pStyle w:val="18"/>
        <w:ind w:left="720" w:firstLine="0" w:firstLineChars="0"/>
      </w:pPr>
      <w:r>
        <w:rPr>
          <w:highlight w:val="yellow"/>
        </w:rPr>
        <w:t>文件命名规则Manual_Lockperiod_XXXXXXXX.xls-------XXXXXXXX是</w:t>
      </w:r>
      <w:r>
        <w:rPr>
          <w:rFonts w:hint="eastAsia"/>
          <w:highlight w:val="yellow"/>
        </w:rPr>
        <w:t>8位日期</w:t>
      </w:r>
    </w:p>
    <w:p>
      <w:pPr>
        <w:pStyle w:val="18"/>
        <w:ind w:left="720" w:firstLine="0" w:firstLineChars="0"/>
      </w:pPr>
      <w:r>
        <w:drawing>
          <wp:inline distT="0" distB="0" distL="0" distR="0">
            <wp:extent cx="5274310" cy="32613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修改</w:t>
      </w:r>
      <w:r>
        <w:t>方案</w:t>
      </w:r>
      <w:r>
        <w:rPr>
          <w:rFonts w:hint="eastAsia"/>
        </w:rPr>
        <w:t>：</w:t>
      </w:r>
    </w:p>
    <w:p>
      <w:pPr>
        <w:ind w:left="420"/>
        <w:jc w:val="left"/>
        <w:rPr>
          <w:rFonts w:ascii="宋体" w:hAnsi="宋体"/>
        </w:rPr>
      </w:pPr>
      <w:r>
        <w:rPr>
          <w:rFonts w:hint="eastAsia" w:ascii="宋体" w:hAnsi="宋体"/>
        </w:rPr>
        <w:t>实现方案：</w:t>
      </w:r>
    </w:p>
    <w:p>
      <w:pPr>
        <w:numPr>
          <w:ilvl w:val="0"/>
          <w:numId w:val="3"/>
        </w:numPr>
        <w:jc w:val="left"/>
        <w:rPr>
          <w:rFonts w:ascii="宋体" w:hAnsi="宋体"/>
          <w:color w:val="1F497D"/>
        </w:rPr>
      </w:pPr>
      <w:r>
        <w:rPr>
          <w:rFonts w:hint="eastAsia" w:ascii="宋体" w:hAnsi="宋体"/>
        </w:rPr>
        <w:t>增加对于</w:t>
      </w:r>
      <w:r>
        <w:rPr>
          <w:rFonts w:ascii="宋体" w:hAnsi="宋体"/>
        </w:rPr>
        <w:t>中证限售因子数据导入的支持</w:t>
      </w:r>
      <w:r>
        <w:rPr>
          <w:rFonts w:hint="eastAsia" w:ascii="宋体" w:hAnsi="宋体"/>
        </w:rPr>
        <w:t>。</w:t>
      </w:r>
    </w:p>
    <w:p>
      <w:pPr>
        <w:numPr>
          <w:ilvl w:val="0"/>
          <w:numId w:val="3"/>
        </w:numPr>
        <w:jc w:val="left"/>
      </w:pPr>
      <w:r>
        <w:rPr>
          <w:rFonts w:hint="eastAsia"/>
        </w:rPr>
        <w:t>增加</w:t>
      </w:r>
      <w:r>
        <w:t>行情接口、公司行为公告接口的</w:t>
      </w:r>
      <w:r>
        <w:rPr>
          <w:rFonts w:hint="eastAsia"/>
        </w:rPr>
        <w:t>导入导出</w:t>
      </w:r>
      <w:r>
        <w:t>支持</w:t>
      </w:r>
      <w:r>
        <w:rPr>
          <w:rFonts w:hint="eastAsia"/>
        </w:rPr>
        <w:t>。</w:t>
      </w:r>
    </w:p>
    <w:p>
      <w:pPr>
        <w:numPr>
          <w:ilvl w:val="0"/>
          <w:numId w:val="3"/>
        </w:numPr>
        <w:jc w:val="left"/>
      </w:pPr>
      <w:r>
        <w:rPr>
          <w:rFonts w:hint="eastAsia"/>
        </w:rPr>
        <w:t>增加</w:t>
      </w:r>
      <w:r>
        <w:t>持仓和</w:t>
      </w:r>
      <w:r>
        <w:rPr>
          <w:rFonts w:hint="eastAsia"/>
        </w:rPr>
        <w:t>截止</w:t>
      </w:r>
      <w:r>
        <w:t>日比对结果。</w:t>
      </w:r>
    </w:p>
    <w:p>
      <w:pPr>
        <w:jc w:val="left"/>
      </w:pPr>
    </w:p>
    <w:p>
      <w:pPr>
        <w:ind w:firstLine="420"/>
        <w:rPr>
          <w:rFonts w:ascii="宋体" w:hAnsi="宋体"/>
          <w:color w:val="1F497D"/>
        </w:rPr>
      </w:pPr>
      <w:r>
        <w:rPr>
          <w:rFonts w:hint="eastAsia"/>
          <w:color w:val="FF0000"/>
          <w:highlight w:val="yellow"/>
        </w:rPr>
        <w:t>影响</w:t>
      </w:r>
      <w:r>
        <w:rPr>
          <w:color w:val="FF0000"/>
          <w:highlight w:val="yellow"/>
        </w:rPr>
        <w:t>范围</w:t>
      </w:r>
      <w:r>
        <w:rPr>
          <w:rFonts w:hint="eastAsia"/>
          <w:color w:val="FF0000"/>
          <w:highlight w:val="yellow"/>
        </w:rPr>
        <w:t>*</w:t>
      </w:r>
      <w:r>
        <w:rPr>
          <w:color w:val="FF0000"/>
          <w:highlight w:val="yellow"/>
        </w:rPr>
        <w:t>：</w:t>
      </w:r>
      <w:r>
        <w:rPr>
          <w:rFonts w:hint="eastAsia" w:ascii="宋体" w:hAnsi="宋体"/>
          <w:color w:val="1F497D"/>
        </w:rPr>
        <w:t>行情</w:t>
      </w:r>
      <w:r>
        <w:rPr>
          <w:rFonts w:ascii="宋体" w:hAnsi="宋体"/>
          <w:color w:val="1F497D"/>
        </w:rPr>
        <w:t>导入</w:t>
      </w:r>
      <w:r>
        <w:rPr>
          <w:rFonts w:hint="eastAsia" w:ascii="宋体" w:hAnsi="宋体"/>
          <w:color w:val="1F497D"/>
        </w:rPr>
        <w:t>导出。</w:t>
      </w:r>
    </w:p>
    <w:p>
      <w:pPr>
        <w:ind w:firstLine="420"/>
        <w:rPr>
          <w:rFonts w:ascii="宋体" w:hAnsi="宋体"/>
          <w:color w:val="1F497D"/>
        </w:rPr>
      </w:pPr>
      <w:r>
        <w:rPr>
          <w:rFonts w:hint="eastAsia" w:ascii="宋体" w:hAnsi="宋体"/>
          <w:color w:val="1F497D"/>
        </w:rPr>
        <w:t xml:space="preserve">           公司</w:t>
      </w:r>
      <w:r>
        <w:rPr>
          <w:rFonts w:ascii="宋体" w:hAnsi="宋体"/>
          <w:color w:val="1F497D"/>
        </w:rPr>
        <w:t>行为公告导入导出。</w:t>
      </w:r>
    </w:p>
    <w:p>
      <w:pPr>
        <w:rPr>
          <w:sz w:val="24"/>
          <w:szCs w:val="24"/>
        </w:rPr>
      </w:pPr>
    </w:p>
    <w:p>
      <w:pPr>
        <w:pStyle w:val="4"/>
      </w:pPr>
      <w:r>
        <w:rPr>
          <w:rFonts w:hint="eastAsia"/>
        </w:rPr>
        <w:t>测试方案</w:t>
      </w:r>
    </w:p>
    <w:tbl>
      <w:tblPr>
        <w:tblStyle w:val="13"/>
        <w:tblW w:w="829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"/>
        <w:gridCol w:w="1344"/>
        <w:gridCol w:w="3448"/>
        <w:gridCol w:w="2671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</w:trPr>
        <w:tc>
          <w:tcPr>
            <w:tcW w:w="8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00B0F0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bookmarkStart w:id="0" w:name="OLE_LINK29"/>
            <w:bookmarkStart w:id="1" w:name="OLE_LINK28"/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编号</w:t>
            </w:r>
          </w:p>
        </w:tc>
        <w:tc>
          <w:tcPr>
            <w:tcW w:w="13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00B0F0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测试点</w:t>
            </w:r>
          </w:p>
        </w:tc>
        <w:tc>
          <w:tcPr>
            <w:tcW w:w="344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F0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输入/条件</w:t>
            </w:r>
          </w:p>
        </w:tc>
        <w:tc>
          <w:tcPr>
            <w:tcW w:w="267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F0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预期结果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50" w:hRule="atLeast"/>
        </w:trPr>
        <w:tc>
          <w:tcPr>
            <w:tcW w:w="83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CASE1</w:t>
            </w:r>
          </w:p>
        </w:tc>
        <w:tc>
          <w:tcPr>
            <w:tcW w:w="134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限售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因子</w:t>
            </w: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行情接口</w:t>
            </w:r>
          </w:p>
        </w:tc>
        <w:tc>
          <w:tcPr>
            <w:tcW w:w="344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导入中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证限售流通因子数据</w:t>
            </w:r>
          </w:p>
        </w:tc>
        <w:tc>
          <w:tcPr>
            <w:tcW w:w="267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numPr>
                <w:ilvl w:val="0"/>
                <w:numId w:val="4"/>
              </w:numPr>
              <w:jc w:val="left"/>
              <w:rPr>
                <w:rFonts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cs="宋体"/>
                <w:color w:val="000000"/>
                <w:kern w:val="0"/>
                <w:sz w:val="18"/>
                <w:szCs w:val="18"/>
              </w:rPr>
              <w:t>行情</w:t>
            </w:r>
            <w:r>
              <w:rPr>
                <w:rFonts w:cs="宋体"/>
                <w:color w:val="000000"/>
                <w:kern w:val="0"/>
                <w:sz w:val="18"/>
                <w:szCs w:val="18"/>
              </w:rPr>
              <w:t>正常生成</w:t>
            </w:r>
            <w:r>
              <w:rPr>
                <w:rFonts w:hint="eastAsia" w:cs="宋体"/>
                <w:color w:val="000000"/>
                <w:kern w:val="0"/>
                <w:sz w:val="18"/>
                <w:szCs w:val="18"/>
              </w:rPr>
              <w:t>并</w:t>
            </w:r>
            <w:r>
              <w:rPr>
                <w:rFonts w:cs="宋体"/>
                <w:color w:val="000000"/>
                <w:kern w:val="0"/>
                <w:sz w:val="18"/>
                <w:szCs w:val="18"/>
              </w:rPr>
              <w:t>可以导出</w:t>
            </w:r>
          </w:p>
          <w:p>
            <w:pPr>
              <w:widowControl/>
              <w:numPr>
                <w:ilvl w:val="0"/>
                <w:numId w:val="4"/>
              </w:numPr>
              <w:jc w:val="left"/>
              <w:rPr>
                <w:rFonts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cs="宋体"/>
                <w:color w:val="000000"/>
                <w:kern w:val="0"/>
                <w:sz w:val="18"/>
                <w:szCs w:val="18"/>
              </w:rPr>
              <w:t>生成</w:t>
            </w:r>
            <w:r>
              <w:rPr>
                <w:rFonts w:cs="宋体"/>
                <w:color w:val="000000"/>
                <w:kern w:val="0"/>
                <w:sz w:val="18"/>
                <w:szCs w:val="18"/>
              </w:rPr>
              <w:t>的数据和IG标准一致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50" w:hRule="atLeast"/>
        </w:trPr>
        <w:tc>
          <w:tcPr>
            <w:tcW w:w="83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CASE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34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限售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因子限售截止日公司行为公告接口</w:t>
            </w:r>
          </w:p>
        </w:tc>
        <w:tc>
          <w:tcPr>
            <w:tcW w:w="344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导入2017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1012</w:t>
            </w: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日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公司行为公告</w:t>
            </w:r>
          </w:p>
        </w:tc>
        <w:tc>
          <w:tcPr>
            <w:tcW w:w="267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numPr>
                <w:ilvl w:val="0"/>
                <w:numId w:val="5"/>
              </w:numPr>
              <w:jc w:val="left"/>
              <w:rPr>
                <w:rFonts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cs="宋体"/>
                <w:color w:val="000000"/>
                <w:kern w:val="0"/>
                <w:sz w:val="18"/>
                <w:szCs w:val="18"/>
              </w:rPr>
              <w:t>公司</w:t>
            </w:r>
            <w:r>
              <w:rPr>
                <w:rFonts w:cs="宋体"/>
                <w:color w:val="000000"/>
                <w:kern w:val="0"/>
                <w:sz w:val="18"/>
                <w:szCs w:val="18"/>
              </w:rPr>
              <w:t>行为正常生成、正常导出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50" w:hRule="atLeast"/>
        </w:trPr>
        <w:tc>
          <w:tcPr>
            <w:tcW w:w="83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CASE3</w:t>
            </w:r>
          </w:p>
        </w:tc>
        <w:tc>
          <w:tcPr>
            <w:tcW w:w="134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持仓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和限售</w:t>
            </w: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截止日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对比</w:t>
            </w: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报表</w:t>
            </w:r>
          </w:p>
        </w:tc>
        <w:tc>
          <w:tcPr>
            <w:tcW w:w="344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手造脚本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进行对比测试</w:t>
            </w:r>
          </w:p>
        </w:tc>
        <w:tc>
          <w:tcPr>
            <w:tcW w:w="267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numPr>
                <w:ilvl w:val="0"/>
                <w:numId w:val="6"/>
              </w:numPr>
              <w:jc w:val="left"/>
              <w:rPr>
                <w:rFonts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cs="宋体"/>
                <w:color w:val="000000"/>
                <w:kern w:val="0"/>
                <w:sz w:val="18"/>
                <w:szCs w:val="18"/>
              </w:rPr>
              <w:t>对比</w:t>
            </w:r>
            <w:r>
              <w:rPr>
                <w:rFonts w:cs="宋体"/>
                <w:color w:val="000000"/>
                <w:kern w:val="0"/>
                <w:sz w:val="18"/>
                <w:szCs w:val="18"/>
              </w:rPr>
              <w:t>成功</w:t>
            </w:r>
          </w:p>
        </w:tc>
      </w:tr>
      <w:bookmarkEnd w:id="0"/>
      <w:bookmarkEnd w:id="1"/>
    </w:tbl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pStyle w:val="5"/>
        <w:numPr>
          <w:ilvl w:val="0"/>
          <w:numId w:val="7"/>
        </w:numPr>
        <w:rPr>
          <w:sz w:val="24"/>
        </w:rPr>
      </w:pPr>
      <w:r>
        <w:rPr>
          <w:rFonts w:hint="eastAsia" w:ascii="宋体" w:hAnsi="宋体" w:cs="宋体"/>
          <w:color w:val="000000"/>
          <w:kern w:val="0"/>
          <w:sz w:val="18"/>
          <w:szCs w:val="18"/>
        </w:rPr>
        <w:t>CASE1</w:t>
      </w:r>
      <w:r>
        <w:rPr>
          <w:rFonts w:ascii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hint="eastAsia"/>
          <w:sz w:val="24"/>
        </w:rPr>
        <w:t>限售因子</w:t>
      </w:r>
      <w:r>
        <w:rPr>
          <w:sz w:val="24"/>
        </w:rPr>
        <w:t>行情接口</w:t>
      </w:r>
    </w:p>
    <w:tbl>
      <w:tblPr>
        <w:tblStyle w:val="13"/>
        <w:tblW w:w="829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"/>
        <w:gridCol w:w="1344"/>
        <w:gridCol w:w="3448"/>
        <w:gridCol w:w="2671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</w:trPr>
        <w:tc>
          <w:tcPr>
            <w:tcW w:w="8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00B0F0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编号</w:t>
            </w:r>
          </w:p>
        </w:tc>
        <w:tc>
          <w:tcPr>
            <w:tcW w:w="13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00B0F0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测试点</w:t>
            </w:r>
          </w:p>
        </w:tc>
        <w:tc>
          <w:tcPr>
            <w:tcW w:w="344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F0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输入/条件</w:t>
            </w:r>
          </w:p>
        </w:tc>
        <w:tc>
          <w:tcPr>
            <w:tcW w:w="267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F0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预期结果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50" w:hRule="atLeast"/>
        </w:trPr>
        <w:tc>
          <w:tcPr>
            <w:tcW w:w="83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CASE1</w:t>
            </w:r>
          </w:p>
        </w:tc>
        <w:tc>
          <w:tcPr>
            <w:tcW w:w="134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限售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因子</w:t>
            </w: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行情接口</w:t>
            </w:r>
          </w:p>
        </w:tc>
        <w:tc>
          <w:tcPr>
            <w:tcW w:w="344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导入2017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1011</w:t>
            </w: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沪深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行情，并导入</w:t>
            </w: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中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证、中债限售流通因子数据</w:t>
            </w:r>
          </w:p>
        </w:tc>
        <w:tc>
          <w:tcPr>
            <w:tcW w:w="267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numPr>
                <w:ilvl w:val="0"/>
                <w:numId w:val="8"/>
              </w:numPr>
              <w:jc w:val="left"/>
              <w:rPr>
                <w:rFonts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cs="宋体"/>
                <w:color w:val="000000"/>
                <w:kern w:val="0"/>
                <w:sz w:val="18"/>
                <w:szCs w:val="18"/>
              </w:rPr>
              <w:t>行情</w:t>
            </w:r>
            <w:r>
              <w:rPr>
                <w:rFonts w:cs="宋体"/>
                <w:color w:val="000000"/>
                <w:kern w:val="0"/>
                <w:sz w:val="18"/>
                <w:szCs w:val="18"/>
              </w:rPr>
              <w:t>正常生成</w:t>
            </w:r>
            <w:r>
              <w:rPr>
                <w:rFonts w:hint="eastAsia" w:cs="宋体"/>
                <w:color w:val="000000"/>
                <w:kern w:val="0"/>
                <w:sz w:val="18"/>
                <w:szCs w:val="18"/>
              </w:rPr>
              <w:t>并</w:t>
            </w:r>
            <w:r>
              <w:rPr>
                <w:rFonts w:cs="宋体"/>
                <w:color w:val="000000"/>
                <w:kern w:val="0"/>
                <w:sz w:val="18"/>
                <w:szCs w:val="18"/>
              </w:rPr>
              <w:t>可以导出</w:t>
            </w:r>
          </w:p>
          <w:p>
            <w:pPr>
              <w:widowControl/>
              <w:numPr>
                <w:ilvl w:val="0"/>
                <w:numId w:val="8"/>
              </w:numPr>
              <w:jc w:val="left"/>
              <w:rPr>
                <w:rFonts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cs="宋体"/>
                <w:color w:val="000000"/>
                <w:kern w:val="0"/>
                <w:sz w:val="18"/>
                <w:szCs w:val="18"/>
              </w:rPr>
              <w:t>生成</w:t>
            </w:r>
            <w:r>
              <w:rPr>
                <w:rFonts w:cs="宋体"/>
                <w:color w:val="000000"/>
                <w:kern w:val="0"/>
                <w:sz w:val="18"/>
                <w:szCs w:val="18"/>
              </w:rPr>
              <w:t>的数据和IG标准一致</w:t>
            </w:r>
          </w:p>
        </w:tc>
      </w:tr>
    </w:tbl>
    <w:p/>
    <w:p>
      <w:pPr>
        <w:rPr>
          <w:color w:val="FF0000"/>
        </w:rPr>
      </w:pPr>
      <w:r>
        <w:rPr>
          <w:rFonts w:hint="eastAsia"/>
          <w:color w:val="FF0000"/>
        </w:rPr>
        <w:t>案例</w:t>
      </w:r>
      <w:r>
        <w:rPr>
          <w:color w:val="FF0000"/>
        </w:rPr>
        <w:t>信息：</w:t>
      </w:r>
    </w:p>
    <w:p>
      <w:pPr>
        <w:numPr>
          <w:ilvl w:val="0"/>
          <w:numId w:val="9"/>
        </w:numPr>
        <w:rPr>
          <w:color w:val="FF0000"/>
        </w:rPr>
      </w:pPr>
      <w:r>
        <w:rPr>
          <w:rFonts w:hint="eastAsia"/>
        </w:rPr>
        <w:t>导入2017101</w:t>
      </w:r>
      <w:r>
        <w:t>2</w:t>
      </w:r>
      <w:r>
        <w:rPr>
          <w:rFonts w:hint="eastAsia"/>
        </w:rPr>
        <w:t>的</w:t>
      </w:r>
      <w:r>
        <w:t>中证限售</w:t>
      </w:r>
      <w:r>
        <w:rPr>
          <w:rFonts w:hint="eastAsia"/>
        </w:rPr>
        <w:t>流通</w:t>
      </w:r>
      <w:r>
        <w:t>因子行情接口数据</w:t>
      </w:r>
    </w:p>
    <w:p>
      <w:r>
        <w:rPr>
          <w:rFonts w:hint="eastAsia"/>
        </w:rPr>
        <w:t>导入</w:t>
      </w:r>
      <w:r>
        <w:t>中证限售流通因子</w:t>
      </w:r>
    </w:p>
    <w:p>
      <w:r>
        <w:rPr>
          <w:rFonts w:hint="eastAsia"/>
        </w:rPr>
        <w:t>行情</w:t>
      </w:r>
      <w:r>
        <w:t>日期</w:t>
      </w:r>
      <w:r>
        <w:rPr>
          <w:rFonts w:hint="eastAsia"/>
        </w:rPr>
        <w:t>:20171012</w:t>
      </w:r>
    </w:p>
    <w:p>
      <w:r>
        <w:rPr>
          <w:rFonts w:hint="eastAsia"/>
        </w:rPr>
        <w:t>市场:</w:t>
      </w:r>
      <w:r>
        <w:t>中证受限股票流动性折扣</w:t>
      </w:r>
    </w:p>
    <w:p>
      <w:r>
        <w:drawing>
          <wp:inline distT="0" distB="0" distL="0" distR="0">
            <wp:extent cx="5266690" cy="22606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导入</w:t>
      </w:r>
      <w:r>
        <w:t>成功。</w:t>
      </w:r>
    </w:p>
    <w:p/>
    <w:p>
      <w:r>
        <w:rPr>
          <w:rFonts w:hint="eastAsia"/>
        </w:rPr>
        <w:t>查询</w:t>
      </w:r>
      <w:r>
        <w:t>导</w:t>
      </w:r>
      <w:r>
        <w:rPr>
          <w:rFonts w:hint="eastAsia"/>
        </w:rPr>
        <w:t>出</w:t>
      </w:r>
      <w:r>
        <w:t>折扣率的情况。</w:t>
      </w:r>
    </w:p>
    <w:p>
      <w:r>
        <w:drawing>
          <wp:inline distT="0" distB="0" distL="0" distR="0">
            <wp:extent cx="5266690" cy="2019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查询成功</w:t>
      </w:r>
      <w:r>
        <w:t>。</w:t>
      </w:r>
    </w:p>
    <w:p>
      <w:r>
        <w:rPr>
          <w:rFonts w:hint="eastAsia"/>
        </w:rPr>
        <w:t>导出</w:t>
      </w:r>
      <w:r>
        <w:t>成功。</w:t>
      </w:r>
    </w:p>
    <w:p>
      <w:r>
        <w:drawing>
          <wp:inline distT="0" distB="0" distL="0" distR="0">
            <wp:extent cx="2333625" cy="1287780"/>
            <wp:effectExtent l="0" t="0" r="952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5"/>
        <w:numPr>
          <w:ilvl w:val="0"/>
          <w:numId w:val="7"/>
        </w:numPr>
        <w:rPr>
          <w:sz w:val="24"/>
        </w:rPr>
      </w:pPr>
      <w:r>
        <w:rPr>
          <w:rFonts w:hint="eastAsia" w:ascii="宋体" w:hAnsi="宋体" w:cs="宋体"/>
          <w:color w:val="000000"/>
          <w:kern w:val="0"/>
          <w:sz w:val="18"/>
          <w:szCs w:val="18"/>
        </w:rPr>
        <w:t>CASE</w:t>
      </w:r>
      <w:r>
        <w:rPr>
          <w:rFonts w:ascii="宋体" w:hAnsi="宋体" w:cs="宋体"/>
          <w:color w:val="000000"/>
          <w:kern w:val="0"/>
          <w:sz w:val="18"/>
          <w:szCs w:val="18"/>
        </w:rPr>
        <w:t xml:space="preserve">2 </w:t>
      </w:r>
      <w:r>
        <w:rPr>
          <w:rFonts w:hint="eastAsia"/>
          <w:sz w:val="24"/>
        </w:rPr>
        <w:t>限售</w:t>
      </w:r>
      <w:r>
        <w:rPr>
          <w:sz w:val="24"/>
        </w:rPr>
        <w:t>因子限售截止日公司行为公告接口</w:t>
      </w:r>
    </w:p>
    <w:tbl>
      <w:tblPr>
        <w:tblStyle w:val="13"/>
        <w:tblW w:w="829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"/>
        <w:gridCol w:w="1344"/>
        <w:gridCol w:w="3448"/>
        <w:gridCol w:w="2671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</w:trPr>
        <w:tc>
          <w:tcPr>
            <w:tcW w:w="8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00B0F0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编号</w:t>
            </w:r>
          </w:p>
        </w:tc>
        <w:tc>
          <w:tcPr>
            <w:tcW w:w="13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00B0F0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测试点</w:t>
            </w:r>
          </w:p>
        </w:tc>
        <w:tc>
          <w:tcPr>
            <w:tcW w:w="344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F0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输入/条件</w:t>
            </w:r>
          </w:p>
        </w:tc>
        <w:tc>
          <w:tcPr>
            <w:tcW w:w="267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F0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预期结果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50" w:hRule="atLeast"/>
        </w:trPr>
        <w:tc>
          <w:tcPr>
            <w:tcW w:w="83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CASE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34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限售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因子限售截止日公司行为公告接口</w:t>
            </w:r>
          </w:p>
        </w:tc>
        <w:tc>
          <w:tcPr>
            <w:tcW w:w="344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导入2017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1012</w:t>
            </w: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日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公司行为公告</w:t>
            </w:r>
          </w:p>
        </w:tc>
        <w:tc>
          <w:tcPr>
            <w:tcW w:w="267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8"/>
              <w:widowControl/>
              <w:numPr>
                <w:ilvl w:val="0"/>
                <w:numId w:val="10"/>
              </w:numPr>
              <w:ind w:firstLineChars="0"/>
              <w:jc w:val="left"/>
              <w:rPr>
                <w:rFonts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cs="宋体"/>
                <w:color w:val="000000"/>
                <w:kern w:val="0"/>
                <w:sz w:val="18"/>
                <w:szCs w:val="18"/>
              </w:rPr>
              <w:t>公司</w:t>
            </w:r>
            <w:r>
              <w:rPr>
                <w:rFonts w:cs="宋体"/>
                <w:color w:val="000000"/>
                <w:kern w:val="0"/>
                <w:sz w:val="18"/>
                <w:szCs w:val="18"/>
              </w:rPr>
              <w:t>行为正常生成、正常导出</w:t>
            </w:r>
          </w:p>
        </w:tc>
      </w:tr>
    </w:tbl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案例</w:t>
      </w:r>
      <w:r>
        <w:rPr>
          <w:color w:val="FF0000"/>
        </w:rPr>
        <w:t>信息：</w:t>
      </w:r>
    </w:p>
    <w:p>
      <w:pPr>
        <w:pStyle w:val="18"/>
        <w:numPr>
          <w:ilvl w:val="0"/>
          <w:numId w:val="11"/>
        </w:numPr>
        <w:ind w:firstLineChars="0"/>
      </w:pPr>
      <w:r>
        <w:rPr>
          <w:rFonts w:hint="eastAsia"/>
        </w:rPr>
        <w:t>导入2017101</w:t>
      </w:r>
      <w:r>
        <w:t>2</w:t>
      </w:r>
      <w:r>
        <w:rPr>
          <w:rFonts w:hint="eastAsia"/>
        </w:rPr>
        <w:t>的</w:t>
      </w:r>
      <w:r>
        <w:t>中证限售</w:t>
      </w:r>
      <w:r>
        <w:rPr>
          <w:rFonts w:hint="eastAsia"/>
        </w:rPr>
        <w:t>流通</w:t>
      </w:r>
      <w:r>
        <w:t>因子</w:t>
      </w:r>
      <w:r>
        <w:rPr>
          <w:rFonts w:hint="eastAsia"/>
        </w:rPr>
        <w:t>行情</w:t>
      </w:r>
      <w:r>
        <w:t>日期</w:t>
      </w:r>
      <w:r>
        <w:rPr>
          <w:rFonts w:hint="eastAsia"/>
        </w:rPr>
        <w:t>:20171012</w:t>
      </w:r>
    </w:p>
    <w:p>
      <w:r>
        <w:rPr>
          <w:rFonts w:hint="eastAsia"/>
        </w:rPr>
        <w:t>市场:</w:t>
      </w:r>
      <w:r>
        <w:t>中证受限股票流动性折扣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274310" cy="22713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导入</w:t>
      </w:r>
      <w:r>
        <w:rPr>
          <w:sz w:val="24"/>
          <w:szCs w:val="24"/>
        </w:rPr>
        <w:t>完毕。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查询</w:t>
      </w:r>
      <w:r>
        <w:rPr>
          <w:sz w:val="24"/>
          <w:szCs w:val="24"/>
        </w:rPr>
        <w:t>数据：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274310" cy="24066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导入</w:t>
      </w:r>
      <w:r>
        <w:rPr>
          <w:sz w:val="24"/>
          <w:szCs w:val="24"/>
        </w:rPr>
        <w:t>成功。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drawing>
          <wp:inline distT="0" distB="0" distL="0" distR="0">
            <wp:extent cx="5274310" cy="11004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导出</w:t>
      </w:r>
      <w:r>
        <w:rPr>
          <w:sz w:val="24"/>
          <w:szCs w:val="24"/>
        </w:rPr>
        <w:t>成功。</w:t>
      </w:r>
    </w:p>
    <w:p>
      <w:pPr>
        <w:rPr>
          <w:sz w:val="24"/>
          <w:szCs w:val="24"/>
        </w:rPr>
      </w:pPr>
    </w:p>
    <w:p>
      <w:pPr>
        <w:pStyle w:val="5"/>
        <w:numPr>
          <w:ilvl w:val="0"/>
          <w:numId w:val="7"/>
        </w:numPr>
        <w:rPr>
          <w:sz w:val="24"/>
        </w:rPr>
      </w:pPr>
      <w:r>
        <w:rPr>
          <w:rFonts w:hint="eastAsia" w:ascii="宋体" w:hAnsi="宋体" w:cs="宋体"/>
          <w:color w:val="000000"/>
          <w:kern w:val="0"/>
          <w:sz w:val="18"/>
          <w:szCs w:val="18"/>
        </w:rPr>
        <w:t>CASE</w:t>
      </w:r>
      <w:r>
        <w:rPr>
          <w:rFonts w:ascii="宋体" w:hAnsi="宋体" w:cs="宋体"/>
          <w:color w:val="000000"/>
          <w:kern w:val="0"/>
          <w:sz w:val="18"/>
          <w:szCs w:val="18"/>
        </w:rPr>
        <w:t xml:space="preserve">3 </w:t>
      </w:r>
      <w:r>
        <w:rPr>
          <w:rFonts w:hint="eastAsia"/>
          <w:sz w:val="24"/>
        </w:rPr>
        <w:t>持仓</w:t>
      </w:r>
      <w:r>
        <w:rPr>
          <w:sz w:val="24"/>
        </w:rPr>
        <w:t>和限售</w:t>
      </w:r>
      <w:r>
        <w:rPr>
          <w:rFonts w:hint="eastAsia"/>
          <w:sz w:val="24"/>
        </w:rPr>
        <w:t>截止日</w:t>
      </w:r>
      <w:r>
        <w:rPr>
          <w:sz w:val="24"/>
        </w:rPr>
        <w:t>对比</w:t>
      </w:r>
      <w:r>
        <w:rPr>
          <w:rFonts w:hint="eastAsia"/>
          <w:sz w:val="24"/>
        </w:rPr>
        <w:t>报表</w:t>
      </w:r>
    </w:p>
    <w:tbl>
      <w:tblPr>
        <w:tblStyle w:val="13"/>
        <w:tblW w:w="829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"/>
        <w:gridCol w:w="1344"/>
        <w:gridCol w:w="3448"/>
        <w:gridCol w:w="2671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</w:trPr>
        <w:tc>
          <w:tcPr>
            <w:tcW w:w="8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00B0F0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编号</w:t>
            </w:r>
          </w:p>
        </w:tc>
        <w:tc>
          <w:tcPr>
            <w:tcW w:w="13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00B0F0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测试点</w:t>
            </w:r>
          </w:p>
        </w:tc>
        <w:tc>
          <w:tcPr>
            <w:tcW w:w="344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F0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输入/条件</w:t>
            </w:r>
          </w:p>
        </w:tc>
        <w:tc>
          <w:tcPr>
            <w:tcW w:w="267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F0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预期结果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50" w:hRule="atLeast"/>
        </w:trPr>
        <w:tc>
          <w:tcPr>
            <w:tcW w:w="83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CASE3</w:t>
            </w:r>
          </w:p>
        </w:tc>
        <w:tc>
          <w:tcPr>
            <w:tcW w:w="134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持仓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和限售</w:t>
            </w: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截止日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对比</w:t>
            </w: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报表</w:t>
            </w:r>
          </w:p>
        </w:tc>
        <w:tc>
          <w:tcPr>
            <w:tcW w:w="344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手造脚本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进行对比测试</w:t>
            </w:r>
          </w:p>
        </w:tc>
        <w:tc>
          <w:tcPr>
            <w:tcW w:w="267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numPr>
                <w:ilvl w:val="0"/>
                <w:numId w:val="6"/>
              </w:numPr>
              <w:jc w:val="left"/>
              <w:rPr>
                <w:rFonts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cs="宋体"/>
                <w:color w:val="000000"/>
                <w:kern w:val="0"/>
                <w:sz w:val="18"/>
                <w:szCs w:val="18"/>
              </w:rPr>
              <w:t>对比</w:t>
            </w:r>
            <w:r>
              <w:rPr>
                <w:rFonts w:cs="宋体"/>
                <w:color w:val="000000"/>
                <w:kern w:val="0"/>
                <w:sz w:val="18"/>
                <w:szCs w:val="18"/>
              </w:rPr>
              <w:t>成功</w:t>
            </w:r>
          </w:p>
        </w:tc>
      </w:tr>
    </w:tbl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rFonts w:hint="eastAsia"/>
        </w:rPr>
      </w:pPr>
      <w:r>
        <w:rPr>
          <w:rFonts w:hint="eastAsia"/>
        </w:rPr>
        <w:t>测试方案：</w:t>
      </w:r>
    </w:p>
    <w:p>
      <w:pPr>
        <w:pStyle w:val="18"/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V1版本发布前：</w:t>
      </w:r>
    </w:p>
    <w:p>
      <w:bookmarkStart w:id="2" w:name="_GoBack"/>
      <w:bookmarkEnd w:id="2"/>
      <w:r>
        <w:t>准备以下数据：</w:t>
      </w:r>
    </w:p>
    <w:p>
      <w:pPr>
        <w:pStyle w:val="18"/>
        <w:numPr>
          <w:ilvl w:val="0"/>
          <w:numId w:val="12"/>
        </w:numPr>
        <w:ind w:firstLineChars="0"/>
      </w:pPr>
      <w:r>
        <w:rPr>
          <w:rFonts w:hint="eastAsia"/>
        </w:rPr>
        <w:t>中证和GP</w:t>
      </w:r>
      <w:r>
        <w:t>3持仓截止日期相同的数据</w:t>
      </w:r>
    </w:p>
    <w:p>
      <w:pPr>
        <w:pStyle w:val="18"/>
        <w:numPr>
          <w:ilvl w:val="0"/>
          <w:numId w:val="12"/>
        </w:numPr>
        <w:ind w:firstLineChars="0"/>
      </w:pPr>
      <w:r>
        <w:t>中证和GP3持仓截止日期不同的数据</w:t>
      </w:r>
    </w:p>
    <w:p>
      <w:pPr>
        <w:pStyle w:val="18"/>
        <w:numPr>
          <w:ilvl w:val="0"/>
          <w:numId w:val="12"/>
        </w:numPr>
        <w:ind w:firstLineChars="0"/>
      </w:pPr>
      <w:r>
        <w:t>前台成列排序如下</w:t>
      </w:r>
    </w:p>
    <w:p>
      <w:pPr>
        <w:pStyle w:val="18"/>
        <w:ind w:left="360" w:firstLine="0" w:firstLineChars="0"/>
      </w:pPr>
      <w:r>
        <w:rPr>
          <w:rFonts w:hint="eastAsia"/>
        </w:rPr>
        <w:t>按证券代码分组展示，首先是对比结果一致的记录，随后是对比结果不一致的记录</w:t>
      </w:r>
    </w:p>
    <w:p>
      <w:r>
        <w:drawing>
          <wp:inline distT="0" distB="0" distL="0" distR="0">
            <wp:extent cx="5105400" cy="22250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测试数据</w:t>
      </w:r>
    </w:p>
    <w:p>
      <w:r>
        <w:t>手造GP3持仓：</w:t>
      </w:r>
    </w:p>
    <w:p>
      <w:r>
        <w:drawing>
          <wp:inline distT="0" distB="0" distL="0" distR="0">
            <wp:extent cx="5274310" cy="5200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手造中证数据：</w:t>
      </w:r>
    </w:p>
    <w:p>
      <w:r>
        <w:drawing>
          <wp:inline distT="0" distB="0" distL="0" distR="0">
            <wp:extent cx="5274310" cy="7772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权限配置：</w:t>
      </w:r>
    </w:p>
    <w:p>
      <w:r>
        <w:t>菜单：用户信息管理-角色管理</w:t>
      </w:r>
    </w:p>
    <w:p>
      <w:r>
        <w:drawing>
          <wp:inline distT="0" distB="0" distL="0" distR="0">
            <wp:extent cx="4320540" cy="49987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8"/>
        <w:ind w:left="72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</w:rPr>
        <w:t>比对</w:t>
      </w:r>
      <w:r>
        <w:t>菜单：公共数据导出-限售股查询比对</w:t>
      </w:r>
    </w:p>
    <w:p>
      <w:pPr>
        <w:pStyle w:val="18"/>
        <w:ind w:left="720" w:firstLine="0" w:firstLineChars="0"/>
      </w:pPr>
      <w:r>
        <w:t>估值日期：</w:t>
      </w:r>
      <w:r>
        <w:rPr>
          <w:rFonts w:hint="eastAsia"/>
        </w:rPr>
        <w:t>20171010</w:t>
      </w:r>
    </w:p>
    <w:p>
      <w:pPr>
        <w:pStyle w:val="18"/>
        <w:ind w:left="720" w:firstLine="0" w:firstLineChars="0"/>
      </w:pPr>
      <w:r>
        <w:drawing>
          <wp:inline distT="0" distB="0" distL="0" distR="0">
            <wp:extent cx="5274310" cy="2451100"/>
            <wp:effectExtent l="0" t="0" r="2540" b="635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ind w:left="720" w:firstLine="0" w:firstLineChars="0"/>
      </w:pPr>
      <w:r>
        <w:rPr>
          <w:rFonts w:hint="eastAsia"/>
        </w:rPr>
        <w:t>填写</w:t>
      </w:r>
      <w:r>
        <w:t>估值日，并对于估值日持仓进行对比。</w:t>
      </w:r>
    </w:p>
    <w:p>
      <w:pPr>
        <w:pStyle w:val="18"/>
        <w:ind w:left="720" w:firstLine="0" w:firstLineChars="0"/>
      </w:pPr>
    </w:p>
    <w:p>
      <w:pPr>
        <w:pStyle w:val="18"/>
        <w:ind w:left="72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V1版本发布后：</w:t>
      </w:r>
    </w:p>
    <w:p>
      <w:pPr>
        <w:pStyle w:val="18"/>
        <w:ind w:left="720" w:firstLine="0" w:firstLineChars="0"/>
      </w:pPr>
    </w:p>
    <w:p>
      <w:pPr>
        <w:pStyle w:val="18"/>
        <w:ind w:left="72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需要先在行情导入界面导入中证受限股票基本信息</w:t>
      </w:r>
    </w:p>
    <w:p>
      <w:pPr>
        <w:pStyle w:val="18"/>
        <w:ind w:left="720" w:firstLine="0" w:firstLineChars="0"/>
        <w:rPr>
          <w:rFonts w:hint="eastAsia" w:eastAsiaTheme="minorEastAsia"/>
          <w:lang w:val="en-US" w:eastAsia="zh-CN"/>
        </w:rPr>
      </w:pPr>
      <w:r>
        <w:t>估值日期：</w:t>
      </w:r>
      <w:r>
        <w:rPr>
          <w:rFonts w:hint="eastAsia"/>
        </w:rPr>
        <w:t>2017</w:t>
      </w:r>
      <w:r>
        <w:rPr>
          <w:rFonts w:hint="eastAsia"/>
          <w:lang w:val="en-US" w:eastAsia="zh-CN"/>
        </w:rPr>
        <w:t>0818</w:t>
      </w:r>
    </w:p>
    <w:p>
      <w:pPr>
        <w:pStyle w:val="18"/>
        <w:ind w:left="720" w:firstLine="0" w:firstLineChars="0"/>
      </w:pPr>
      <w:r>
        <w:drawing>
          <wp:inline distT="0" distB="0" distL="114300" distR="114300">
            <wp:extent cx="5273675" cy="1330960"/>
            <wp:effectExtent l="0" t="0" r="3175" b="254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720" w:firstLine="0" w:firstLineChars="0"/>
      </w:pPr>
      <w:r>
        <w:drawing>
          <wp:inline distT="0" distB="0" distL="114300" distR="114300">
            <wp:extent cx="5263515" cy="2113280"/>
            <wp:effectExtent l="0" t="0" r="13335" b="127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72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V1版本发布前对比结果分为一致和不一致两种情况，发布后分为“GP3限售场景和中证不符”、“中证披露,GP3没有该限售场景”、“一致”三种情况，并对这三种情况打上不同的颜色。</w:t>
      </w:r>
    </w:p>
    <w:p>
      <w:pPr>
        <w:pStyle w:val="5"/>
        <w:numPr>
          <w:ilvl w:val="0"/>
          <w:numId w:val="12"/>
        </w:numPr>
      </w:pPr>
      <w:r>
        <w:t>CASE4初始锁定期维护</w:t>
      </w:r>
    </w:p>
    <w:p>
      <w:pPr>
        <w:pStyle w:val="6"/>
      </w:pPr>
      <w:r>
        <w:rPr>
          <w:rFonts w:hint="eastAsia"/>
        </w:rPr>
        <w:t>配置</w:t>
      </w:r>
    </w:p>
    <w:p>
      <w:r>
        <w:t>菜单：用户信息管理-角色管理</w:t>
      </w:r>
    </w:p>
    <w:p>
      <w:r>
        <w:t>勾选交易数据导入-受限股锁定期</w:t>
      </w:r>
    </w:p>
    <w:p>
      <w:r>
        <w:drawing>
          <wp:inline distT="0" distB="0" distL="0" distR="0">
            <wp:extent cx="4320540" cy="499872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导入</w:t>
      </w:r>
    </w:p>
    <w:p>
      <w:r>
        <w:t>菜单：交易数据导入-受限股锁定期</w:t>
      </w:r>
    </w:p>
    <w:p>
      <w:r>
        <w:t>日期：</w:t>
      </w:r>
      <w:r>
        <w:rPr>
          <w:rFonts w:hint="eastAsia"/>
        </w:rPr>
        <w:t>2017</w:t>
      </w:r>
      <w:r>
        <w:t>1128</w:t>
      </w:r>
    </w:p>
    <w:p>
      <w:r>
        <w:rPr>
          <w:highlight w:val="yellow"/>
        </w:rPr>
        <w:t>文件命名规则Manual_Lockperiod_XXXXXXXX.xls-------XXXXXXXX是</w:t>
      </w:r>
      <w:r>
        <w:rPr>
          <w:rFonts w:hint="eastAsia"/>
          <w:highlight w:val="yellow"/>
        </w:rPr>
        <w:t>8位日期</w:t>
      </w:r>
    </w:p>
    <w:p>
      <w:r>
        <w:drawing>
          <wp:inline distT="0" distB="0" distL="0" distR="0">
            <wp:extent cx="5274310" cy="32613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导出</w:t>
      </w:r>
    </w:p>
    <w:p>
      <w:r>
        <w:t>菜单：交易数据导出-公司行为交易</w:t>
      </w:r>
      <w:r>
        <w:rPr>
          <w:rFonts w:hint="eastAsia"/>
        </w:rPr>
        <w:t>（证券）</w:t>
      </w:r>
    </w:p>
    <w:p>
      <w:r>
        <w:t>市场：上交所</w:t>
      </w:r>
    </w:p>
    <w:p>
      <w:r>
        <w:t>日期：</w:t>
      </w:r>
      <w:r>
        <w:rPr>
          <w:rFonts w:hint="eastAsia"/>
        </w:rPr>
        <w:t>20171128</w:t>
      </w:r>
    </w:p>
    <w:p>
      <w:r>
        <w:t>组合：全选</w:t>
      </w:r>
    </w:p>
    <w:p>
      <w:r>
        <w:t>转限售数量放在成交数量字段，费用全部为</w:t>
      </w:r>
      <w:r>
        <w:rPr>
          <w:rFonts w:hint="eastAsia"/>
        </w:rPr>
        <w:t>0</w:t>
      </w:r>
    </w:p>
    <w:p>
      <w:r>
        <w:drawing>
          <wp:inline distT="0" distB="0" distL="0" distR="0">
            <wp:extent cx="5274310" cy="31508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0490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测试结束。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E0C99"/>
    <w:multiLevelType w:val="multilevel"/>
    <w:tmpl w:val="002E0C9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215FBD"/>
    <w:multiLevelType w:val="multilevel"/>
    <w:tmpl w:val="0D215FB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3AA238F"/>
    <w:multiLevelType w:val="multilevel"/>
    <w:tmpl w:val="13AA238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9273AD8"/>
    <w:multiLevelType w:val="multilevel"/>
    <w:tmpl w:val="39273AD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3F77730A"/>
    <w:multiLevelType w:val="multilevel"/>
    <w:tmpl w:val="3F77730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F7D6D53"/>
    <w:multiLevelType w:val="multilevel"/>
    <w:tmpl w:val="3F7D6D5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0AE17C0"/>
    <w:multiLevelType w:val="multilevel"/>
    <w:tmpl w:val="40AE17C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9FD4371"/>
    <w:multiLevelType w:val="multilevel"/>
    <w:tmpl w:val="49FD437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8A85C90"/>
    <w:multiLevelType w:val="multilevel"/>
    <w:tmpl w:val="58A85C90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  <w:color w:val="auto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5CB0164B"/>
    <w:multiLevelType w:val="multilevel"/>
    <w:tmpl w:val="5CB0164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F3257C1"/>
    <w:multiLevelType w:val="multilevel"/>
    <w:tmpl w:val="5F3257C1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1A34F46"/>
    <w:multiLevelType w:val="multilevel"/>
    <w:tmpl w:val="71A34F4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8"/>
  </w:num>
  <w:num w:numId="4">
    <w:abstractNumId w:val="4"/>
  </w:num>
  <w:num w:numId="5">
    <w:abstractNumId w:val="10"/>
  </w:num>
  <w:num w:numId="6">
    <w:abstractNumId w:val="0"/>
  </w:num>
  <w:num w:numId="7">
    <w:abstractNumId w:val="2"/>
  </w:num>
  <w:num w:numId="8">
    <w:abstractNumId w:val="9"/>
  </w:num>
  <w:num w:numId="9">
    <w:abstractNumId w:val="11"/>
  </w:num>
  <w:num w:numId="10">
    <w:abstractNumId w:val="6"/>
  </w:num>
  <w:num w:numId="11">
    <w:abstractNumId w:val="7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05B8"/>
    <w:rsid w:val="00004F7E"/>
    <w:rsid w:val="000056A0"/>
    <w:rsid w:val="000305B8"/>
    <w:rsid w:val="00030BB0"/>
    <w:rsid w:val="0004438C"/>
    <w:rsid w:val="0006433A"/>
    <w:rsid w:val="00080382"/>
    <w:rsid w:val="000854ED"/>
    <w:rsid w:val="00091934"/>
    <w:rsid w:val="000A3CBC"/>
    <w:rsid w:val="000A3F18"/>
    <w:rsid w:val="000C015D"/>
    <w:rsid w:val="000C4321"/>
    <w:rsid w:val="000E73B1"/>
    <w:rsid w:val="000F25DF"/>
    <w:rsid w:val="0010219C"/>
    <w:rsid w:val="00102B18"/>
    <w:rsid w:val="00103652"/>
    <w:rsid w:val="00115AA5"/>
    <w:rsid w:val="00140DA7"/>
    <w:rsid w:val="00164C53"/>
    <w:rsid w:val="00174957"/>
    <w:rsid w:val="00186077"/>
    <w:rsid w:val="00194AF0"/>
    <w:rsid w:val="001A4697"/>
    <w:rsid w:val="001A76BC"/>
    <w:rsid w:val="001B5A3E"/>
    <w:rsid w:val="001C017C"/>
    <w:rsid w:val="001C40D3"/>
    <w:rsid w:val="001E08B6"/>
    <w:rsid w:val="001F423A"/>
    <w:rsid w:val="001F4F12"/>
    <w:rsid w:val="002052E3"/>
    <w:rsid w:val="002114A7"/>
    <w:rsid w:val="00221348"/>
    <w:rsid w:val="00260141"/>
    <w:rsid w:val="002659A8"/>
    <w:rsid w:val="00277EBE"/>
    <w:rsid w:val="002A329B"/>
    <w:rsid w:val="002A5F7D"/>
    <w:rsid w:val="002D1794"/>
    <w:rsid w:val="00303A23"/>
    <w:rsid w:val="00304F55"/>
    <w:rsid w:val="003307E4"/>
    <w:rsid w:val="00335DA1"/>
    <w:rsid w:val="00340009"/>
    <w:rsid w:val="00371949"/>
    <w:rsid w:val="00393AA9"/>
    <w:rsid w:val="00393F12"/>
    <w:rsid w:val="003B4A85"/>
    <w:rsid w:val="003C29A2"/>
    <w:rsid w:val="003C4B30"/>
    <w:rsid w:val="003C56FF"/>
    <w:rsid w:val="003D7ADC"/>
    <w:rsid w:val="003E403A"/>
    <w:rsid w:val="003F53A4"/>
    <w:rsid w:val="003F77AD"/>
    <w:rsid w:val="004054D0"/>
    <w:rsid w:val="00426B52"/>
    <w:rsid w:val="00430C95"/>
    <w:rsid w:val="00430DB0"/>
    <w:rsid w:val="004360ED"/>
    <w:rsid w:val="00436682"/>
    <w:rsid w:val="00444C8E"/>
    <w:rsid w:val="0045605E"/>
    <w:rsid w:val="0046510E"/>
    <w:rsid w:val="004761A9"/>
    <w:rsid w:val="004761E8"/>
    <w:rsid w:val="0048492D"/>
    <w:rsid w:val="00490E0E"/>
    <w:rsid w:val="004C2712"/>
    <w:rsid w:val="004D095A"/>
    <w:rsid w:val="004D125E"/>
    <w:rsid w:val="004D5602"/>
    <w:rsid w:val="004E25C8"/>
    <w:rsid w:val="004E268C"/>
    <w:rsid w:val="004F7076"/>
    <w:rsid w:val="00520C55"/>
    <w:rsid w:val="00526D47"/>
    <w:rsid w:val="0052756A"/>
    <w:rsid w:val="005322F7"/>
    <w:rsid w:val="00537D60"/>
    <w:rsid w:val="005410E2"/>
    <w:rsid w:val="00545977"/>
    <w:rsid w:val="00552E77"/>
    <w:rsid w:val="00563481"/>
    <w:rsid w:val="00563A4C"/>
    <w:rsid w:val="005645B8"/>
    <w:rsid w:val="005663D0"/>
    <w:rsid w:val="00580F4E"/>
    <w:rsid w:val="005820D1"/>
    <w:rsid w:val="005824D4"/>
    <w:rsid w:val="005E1FFA"/>
    <w:rsid w:val="005F19D7"/>
    <w:rsid w:val="00606C69"/>
    <w:rsid w:val="00613FE2"/>
    <w:rsid w:val="0061652B"/>
    <w:rsid w:val="00624349"/>
    <w:rsid w:val="00630618"/>
    <w:rsid w:val="00632125"/>
    <w:rsid w:val="006468BA"/>
    <w:rsid w:val="00653520"/>
    <w:rsid w:val="006664D3"/>
    <w:rsid w:val="00680C34"/>
    <w:rsid w:val="006971EF"/>
    <w:rsid w:val="006B1325"/>
    <w:rsid w:val="006B25D9"/>
    <w:rsid w:val="006B36E3"/>
    <w:rsid w:val="006D7F3A"/>
    <w:rsid w:val="006F3551"/>
    <w:rsid w:val="006F5070"/>
    <w:rsid w:val="007033F6"/>
    <w:rsid w:val="00704C68"/>
    <w:rsid w:val="00717671"/>
    <w:rsid w:val="00730036"/>
    <w:rsid w:val="00745782"/>
    <w:rsid w:val="0076336E"/>
    <w:rsid w:val="00774411"/>
    <w:rsid w:val="007A0963"/>
    <w:rsid w:val="007A2B89"/>
    <w:rsid w:val="007B248E"/>
    <w:rsid w:val="007C3D84"/>
    <w:rsid w:val="007C699B"/>
    <w:rsid w:val="007D2B0C"/>
    <w:rsid w:val="007D35B6"/>
    <w:rsid w:val="007F247B"/>
    <w:rsid w:val="00801915"/>
    <w:rsid w:val="008336F4"/>
    <w:rsid w:val="008379F3"/>
    <w:rsid w:val="008447B8"/>
    <w:rsid w:val="00850AC1"/>
    <w:rsid w:val="00851584"/>
    <w:rsid w:val="008600C4"/>
    <w:rsid w:val="008713FE"/>
    <w:rsid w:val="0087563D"/>
    <w:rsid w:val="0089766D"/>
    <w:rsid w:val="008A5C77"/>
    <w:rsid w:val="008D0C6E"/>
    <w:rsid w:val="008E1560"/>
    <w:rsid w:val="008E2C41"/>
    <w:rsid w:val="008E4A1D"/>
    <w:rsid w:val="008E7284"/>
    <w:rsid w:val="008F1D07"/>
    <w:rsid w:val="008F4F3A"/>
    <w:rsid w:val="00901D64"/>
    <w:rsid w:val="0091299B"/>
    <w:rsid w:val="00927307"/>
    <w:rsid w:val="0094041B"/>
    <w:rsid w:val="00944056"/>
    <w:rsid w:val="009442D5"/>
    <w:rsid w:val="00951D4B"/>
    <w:rsid w:val="00953F60"/>
    <w:rsid w:val="00960D55"/>
    <w:rsid w:val="009749D6"/>
    <w:rsid w:val="0098683F"/>
    <w:rsid w:val="009906A1"/>
    <w:rsid w:val="00995F65"/>
    <w:rsid w:val="009A584E"/>
    <w:rsid w:val="009A5A65"/>
    <w:rsid w:val="009A7C40"/>
    <w:rsid w:val="009A7EE6"/>
    <w:rsid w:val="009E79AA"/>
    <w:rsid w:val="009F7D97"/>
    <w:rsid w:val="00A35F87"/>
    <w:rsid w:val="00A40479"/>
    <w:rsid w:val="00A45512"/>
    <w:rsid w:val="00A71BF1"/>
    <w:rsid w:val="00A81617"/>
    <w:rsid w:val="00A84BD9"/>
    <w:rsid w:val="00AA26BC"/>
    <w:rsid w:val="00AA3DE5"/>
    <w:rsid w:val="00AB4652"/>
    <w:rsid w:val="00AC1FBB"/>
    <w:rsid w:val="00AC246B"/>
    <w:rsid w:val="00AC35EF"/>
    <w:rsid w:val="00B178D7"/>
    <w:rsid w:val="00B32126"/>
    <w:rsid w:val="00B503E0"/>
    <w:rsid w:val="00B5350E"/>
    <w:rsid w:val="00B56AAA"/>
    <w:rsid w:val="00B72FAD"/>
    <w:rsid w:val="00B76A46"/>
    <w:rsid w:val="00BA04D8"/>
    <w:rsid w:val="00BC6E86"/>
    <w:rsid w:val="00BF377C"/>
    <w:rsid w:val="00C17E26"/>
    <w:rsid w:val="00C23730"/>
    <w:rsid w:val="00C25FC7"/>
    <w:rsid w:val="00C336AB"/>
    <w:rsid w:val="00C36CA5"/>
    <w:rsid w:val="00C4092D"/>
    <w:rsid w:val="00C60BF8"/>
    <w:rsid w:val="00C74722"/>
    <w:rsid w:val="00C93FE2"/>
    <w:rsid w:val="00CA7413"/>
    <w:rsid w:val="00CB4CCD"/>
    <w:rsid w:val="00CB5C86"/>
    <w:rsid w:val="00CB7429"/>
    <w:rsid w:val="00CD3A75"/>
    <w:rsid w:val="00CE15D8"/>
    <w:rsid w:val="00D0665D"/>
    <w:rsid w:val="00D11F60"/>
    <w:rsid w:val="00D20961"/>
    <w:rsid w:val="00D2658C"/>
    <w:rsid w:val="00D47F5A"/>
    <w:rsid w:val="00D62966"/>
    <w:rsid w:val="00D66A7C"/>
    <w:rsid w:val="00D67F7D"/>
    <w:rsid w:val="00D865A5"/>
    <w:rsid w:val="00D92645"/>
    <w:rsid w:val="00D9342D"/>
    <w:rsid w:val="00D9351D"/>
    <w:rsid w:val="00D94F61"/>
    <w:rsid w:val="00DA3CE5"/>
    <w:rsid w:val="00DC59B6"/>
    <w:rsid w:val="00DD3884"/>
    <w:rsid w:val="00DE1569"/>
    <w:rsid w:val="00E25574"/>
    <w:rsid w:val="00E35F1D"/>
    <w:rsid w:val="00E7441B"/>
    <w:rsid w:val="00E81B95"/>
    <w:rsid w:val="00E9112E"/>
    <w:rsid w:val="00EB0AFB"/>
    <w:rsid w:val="00EB221C"/>
    <w:rsid w:val="00EB29A4"/>
    <w:rsid w:val="00EC5D3A"/>
    <w:rsid w:val="00ED15FF"/>
    <w:rsid w:val="00EF43A2"/>
    <w:rsid w:val="00F37D7D"/>
    <w:rsid w:val="00F56025"/>
    <w:rsid w:val="00F625A1"/>
    <w:rsid w:val="00F75C1D"/>
    <w:rsid w:val="00F81B63"/>
    <w:rsid w:val="00F828FE"/>
    <w:rsid w:val="00FB4373"/>
    <w:rsid w:val="00FC3299"/>
    <w:rsid w:val="00FE7929"/>
    <w:rsid w:val="00FF27D6"/>
    <w:rsid w:val="0BB0738F"/>
    <w:rsid w:val="162F20F7"/>
    <w:rsid w:val="1F912317"/>
    <w:rsid w:val="24177999"/>
    <w:rsid w:val="25204426"/>
    <w:rsid w:val="2F8F6A3D"/>
    <w:rsid w:val="2FAA6029"/>
    <w:rsid w:val="406D35BC"/>
    <w:rsid w:val="43B95C77"/>
    <w:rsid w:val="48345F37"/>
    <w:rsid w:val="4E10444C"/>
    <w:rsid w:val="4F782FFC"/>
    <w:rsid w:val="4FD11306"/>
    <w:rsid w:val="634A391C"/>
    <w:rsid w:val="639D146B"/>
    <w:rsid w:val="6E807974"/>
    <w:rsid w:val="764F3D1C"/>
    <w:rsid w:val="79CD1B7D"/>
    <w:rsid w:val="7A0B47BE"/>
    <w:rsid w:val="7CDA4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9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3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subject"/>
    <w:basedOn w:val="8"/>
    <w:next w:val="8"/>
    <w:link w:val="21"/>
    <w:semiHidden/>
    <w:unhideWhenUsed/>
    <w:qFormat/>
    <w:uiPriority w:val="99"/>
    <w:rPr>
      <w:b/>
      <w:bCs/>
    </w:rPr>
  </w:style>
  <w:style w:type="paragraph" w:styleId="8">
    <w:name w:val="annotation text"/>
    <w:basedOn w:val="1"/>
    <w:link w:val="20"/>
    <w:semiHidden/>
    <w:unhideWhenUsed/>
    <w:qFormat/>
    <w:uiPriority w:val="99"/>
    <w:pPr>
      <w:jc w:val="left"/>
    </w:pPr>
  </w:style>
  <w:style w:type="paragraph" w:styleId="9">
    <w:name w:val="Balloon Text"/>
    <w:basedOn w:val="1"/>
    <w:link w:val="22"/>
    <w:semiHidden/>
    <w:unhideWhenUsed/>
    <w:qFormat/>
    <w:uiPriority w:val="99"/>
    <w:rPr>
      <w:sz w:val="18"/>
      <w:szCs w:val="18"/>
    </w:rPr>
  </w:style>
  <w:style w:type="paragraph" w:styleId="10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2">
    <w:name w:val="annotation reference"/>
    <w:basedOn w:val="11"/>
    <w:semiHidden/>
    <w:unhideWhenUsed/>
    <w:qFormat/>
    <w:uiPriority w:val="99"/>
    <w:rPr>
      <w:sz w:val="21"/>
      <w:szCs w:val="21"/>
    </w:rPr>
  </w:style>
  <w:style w:type="table" w:styleId="14">
    <w:name w:val="Table Grid"/>
    <w:basedOn w:val="1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5">
    <w:name w:val="Heading 1 Char"/>
    <w:basedOn w:val="11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6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Heading 3 Char"/>
    <w:basedOn w:val="11"/>
    <w:link w:val="4"/>
    <w:qFormat/>
    <w:uiPriority w:val="9"/>
    <w:rPr>
      <w:b/>
      <w:bCs/>
      <w:sz w:val="32"/>
      <w:szCs w:val="32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character" w:customStyle="1" w:styleId="19">
    <w:name w:val="Heading 4 Char"/>
    <w:basedOn w:val="11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0">
    <w:name w:val="Comment Text Char"/>
    <w:basedOn w:val="11"/>
    <w:link w:val="8"/>
    <w:semiHidden/>
    <w:qFormat/>
    <w:uiPriority w:val="99"/>
  </w:style>
  <w:style w:type="character" w:customStyle="1" w:styleId="21">
    <w:name w:val="Comment Subject Char"/>
    <w:basedOn w:val="20"/>
    <w:link w:val="7"/>
    <w:semiHidden/>
    <w:qFormat/>
    <w:uiPriority w:val="99"/>
    <w:rPr>
      <w:b/>
      <w:bCs/>
    </w:rPr>
  </w:style>
  <w:style w:type="character" w:customStyle="1" w:styleId="22">
    <w:name w:val="Balloon Text Char"/>
    <w:basedOn w:val="11"/>
    <w:link w:val="9"/>
    <w:semiHidden/>
    <w:qFormat/>
    <w:uiPriority w:val="99"/>
    <w:rPr>
      <w:sz w:val="18"/>
      <w:szCs w:val="18"/>
    </w:rPr>
  </w:style>
  <w:style w:type="character" w:customStyle="1" w:styleId="23">
    <w:name w:val="Heading 5 Char"/>
    <w:basedOn w:val="11"/>
    <w:link w:val="6"/>
    <w:qFormat/>
    <w:uiPriority w:val="9"/>
    <w:rPr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2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A3C6A19-46A6-443C-B23D-C0EFB8ED8C8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260</Words>
  <Characters>1485</Characters>
  <Lines>12</Lines>
  <Paragraphs>3</Paragraphs>
  <TotalTime>0</TotalTime>
  <ScaleCrop>false</ScaleCrop>
  <LinksUpToDate>false</LinksUpToDate>
  <CharactersWithSpaces>1742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2015-12-17T10:52:00Z</dcterms:created>
  <dc:creator>Zhenyun Li</dc:creator>
  <cp:lastModifiedBy>Qian.sun</cp:lastModifiedBy>
  <dcterms:modified xsi:type="dcterms:W3CDTF">2018-07-12T09:50:49Z</dcterms:modified>
  <cp:revision>143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