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公募基金风险收益分析综合报告</w:t>
      </w:r>
    </w:p>
    <w:p>
      <w:r>
        <w:t>本文件汇总本次分析生成的主要 Markdown 报告，便于在 Word 中阅读和归档。</w:t>
      </w:r>
    </w:p>
    <w:p>
      <w:pPr>
        <w:pStyle w:val="Heading1"/>
      </w:pPr>
      <w:r>
        <w:t>主分析报告</w:t>
      </w:r>
    </w:p>
    <w:p>
      <w:pPr>
        <w:pStyle w:val="Heading1"/>
      </w:pPr>
      <w:r>
        <w:t>公募基金风险收益评价分析报告</w:t>
      </w:r>
    </w:p>
    <w:p>
      <w:r>
        <w:t>生成时间：2026-07-15 08:08</w:t>
      </w:r>
    </w:p>
    <w:p>
      <w:pPr>
        <w:pStyle w:val="Heading2"/>
      </w:pPr>
      <w:r>
        <w:t>研究问题</w:t>
      </w:r>
    </w:p>
    <w:p>
      <w:r>
        <w:t>如果公募基金筛选不能只看历史收益率，是否可以通过多因子风险收益评分模型，得到更均衡、更可解释的基金排名？</w:t>
      </w:r>
    </w:p>
    <w:p>
      <w:pPr>
        <w:pStyle w:val="Heading2"/>
      </w:pPr>
      <w:r>
        <w:t>合规边界</w:t>
      </w:r>
    </w:p>
    <w:p>
      <w:r>
        <w:t>本系统是基金历史表现分析与决策辅助工具，不构成个性化投资建议、收益承诺或买卖指令。实际投资还需要结合投资者风险承受能力、投资期限、流动性需求、费用、税务、基金合同和市场环境等因素。历史业绩不代表未来表现。</w:t>
      </w:r>
    </w:p>
    <w:p>
      <w:pPr>
        <w:pStyle w:val="Heading2"/>
      </w:pPr>
      <w:r>
        <w:t>投资者画像</w:t>
      </w:r>
    </w:p>
    <w:p>
      <w:r>
        <w:t>balanced</w:t>
      </w:r>
    </w:p>
    <w:p>
      <w:pPr>
        <w:pStyle w:val="Heading2"/>
      </w:pPr>
      <w:r>
        <w:t>基础画像权重</w:t>
      </w:r>
    </w:p>
    <w:p>
      <w:r>
        <w:t>以下权重是 balanced 投资者画像的基础偏好，用于定义评价方向，并不是每只基金最终完全相同的动态权重。</w:t>
      </w:r>
    </w:p>
    <w:p>
      <w:pPr>
        <w:pStyle w:val="ListBullet"/>
      </w:pPr>
      <w:r>
        <w:t>annual_return: 20%</w:t>
      </w:r>
    </w:p>
    <w:p>
      <w:pPr>
        <w:pStyle w:val="ListBullet"/>
      </w:pPr>
      <w:r>
        <w:t>sharpe: 25%</w:t>
      </w:r>
    </w:p>
    <w:p>
      <w:pPr>
        <w:pStyle w:val="ListBullet"/>
      </w:pPr>
      <w:r>
        <w:t>max_drawdown: 20%</w:t>
      </w:r>
    </w:p>
    <w:p>
      <w:pPr>
        <w:pStyle w:val="ListBullet"/>
      </w:pPr>
      <w:r>
        <w:t>calmar: 10%</w:t>
      </w:r>
    </w:p>
    <w:p>
      <w:pPr>
        <w:pStyle w:val="ListBullet"/>
      </w:pPr>
      <w:r>
        <w:t>annual_volatility: 10%</w:t>
      </w:r>
    </w:p>
    <w:p>
      <w:pPr>
        <w:pStyle w:val="ListBullet"/>
      </w:pPr>
      <w:r>
        <w:t>rolling_positive_ratio: 15%</w:t>
      </w:r>
    </w:p>
    <w:p>
      <w:pPr>
        <w:pStyle w:val="Heading2"/>
      </w:pPr>
      <w:r>
        <w:t>基金级动态权重</w:t>
      </w:r>
    </w:p>
    <w:p>
      <w:r>
        <w:t>系统会在基础画像权重上，根据每只基金自身的收益、回撤、波动、风险调整收益和收益稳定性做局部微调。因此，同一个 10 排名里的不同基金会有不同的动态因子权重。</w:t>
      </w:r>
    </w:p>
    <w:p>
      <w:pPr>
        <w:pStyle w:val="Heading3"/>
      </w:pPr>
      <w:r>
        <w:t>动态权重排名预览</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动态排名</w:t>
            </w:r>
          </w:p>
        </w:tc>
        <w:tc>
          <w:tcPr>
            <w:tcW w:type="dxa" w:w="1440"/>
          </w:tcPr>
          <w:p>
            <w:r>
              <w:rPr>
                <w:b/>
              </w:rPr>
              <w:t>基金</w:t>
            </w:r>
          </w:p>
        </w:tc>
        <w:tc>
          <w:tcPr>
            <w:tcW w:type="dxa" w:w="1440"/>
          </w:tcPr>
          <w:p>
            <w:r>
              <w:rPr>
                <w:b/>
              </w:rPr>
              <w:t>动态评分</w:t>
            </w:r>
          </w:p>
        </w:tc>
        <w:tc>
          <w:tcPr>
            <w:tcW w:type="dxa" w:w="1440"/>
          </w:tcPr>
          <w:p>
            <w:r>
              <w:rPr>
                <w:b/>
              </w:rPr>
              <w:t>原始排名</w:t>
            </w:r>
          </w:p>
        </w:tc>
        <w:tc>
          <w:tcPr>
            <w:tcW w:type="dxa" w:w="1440"/>
          </w:tcPr>
          <w:p>
            <w:r>
              <w:rPr>
                <w:b/>
              </w:rPr>
              <w:t>主要动态权重</w:t>
            </w:r>
          </w:p>
        </w:tc>
        <w:tc>
          <w:tcPr>
            <w:tcW w:type="dxa" w:w="1440"/>
          </w:tcPr>
          <w:p>
            <w:r>
              <w:rPr>
                <w:b/>
              </w:rPr>
              <w:t>调整说明</w:t>
            </w:r>
          </w:p>
        </w:tc>
      </w:tr>
      <w:tr>
        <w:tc>
          <w:tcPr>
            <w:tcW w:type="dxa" w:w="1440"/>
          </w:tcPr>
          <w:p>
            <w:r>
              <w:t>1</w:t>
            </w:r>
          </w:p>
        </w:tc>
        <w:tc>
          <w:tcPr>
            <w:tcW w:type="dxa" w:w="1440"/>
          </w:tcPr>
          <w:p>
            <w:r>
              <w:t>001052 华夏中证500ETF联接A</w:t>
            </w:r>
          </w:p>
        </w:tc>
        <w:tc>
          <w:tcPr>
            <w:tcW w:type="dxa" w:w="1440"/>
          </w:tcPr>
          <w:p>
            <w:r>
              <w:t>89.81</w:t>
            </w:r>
          </w:p>
        </w:tc>
        <w:tc>
          <w:tcPr>
            <w:tcW w:type="dxa" w:w="1440"/>
          </w:tcPr>
          <w:p>
            <w:r>
              <w:t>1</w:t>
            </w:r>
          </w:p>
        </w:tc>
        <w:tc>
          <w:tcPr>
            <w:tcW w:type="dxa" w:w="1440"/>
          </w:tcPr>
          <w:p>
            <w:r>
              <w:t>Calmar 31.9%；Sharpe 29.3%；年化波动 17.0%</w:t>
            </w:r>
          </w:p>
        </w:tc>
        <w:tc>
          <w:tcPr>
            <w:tcW w:type="dxa" w:w="1440"/>
          </w:tcPr>
          <w:p>
            <w:r>
              <w:t>该基金风险调整后表现和稳定性较好，动态权重更强调Sharpe、Calmar。</w:t>
            </w:r>
          </w:p>
        </w:tc>
      </w:tr>
      <w:tr>
        <w:tc>
          <w:tcPr>
            <w:tcW w:type="dxa" w:w="1440"/>
          </w:tcPr>
          <w:p>
            <w:r>
              <w:t>2</w:t>
            </w:r>
          </w:p>
        </w:tc>
        <w:tc>
          <w:tcPr>
            <w:tcW w:type="dxa" w:w="1440"/>
          </w:tcPr>
          <w:p>
            <w:r>
              <w:t>110020 易方达沪深300ETF联接A</w:t>
            </w:r>
          </w:p>
        </w:tc>
        <w:tc>
          <w:tcPr>
            <w:tcW w:type="dxa" w:w="1440"/>
          </w:tcPr>
          <w:p>
            <w:r>
              <w:t>83.73</w:t>
            </w:r>
          </w:p>
        </w:tc>
        <w:tc>
          <w:tcPr>
            <w:tcW w:type="dxa" w:w="1440"/>
          </w:tcPr>
          <w:p>
            <w:r>
              <w:t>2</w:t>
            </w:r>
          </w:p>
        </w:tc>
        <w:tc>
          <w:tcPr>
            <w:tcW w:type="dxa" w:w="1440"/>
          </w:tcPr>
          <w:p>
            <w:r>
              <w:t>Calmar 31.1%；Sharpe 28.6%；年化波动 18.6%</w:t>
            </w:r>
          </w:p>
        </w:tc>
        <w:tc>
          <w:tcPr>
            <w:tcW w:type="dxa" w:w="1440"/>
          </w:tcPr>
          <w:p>
            <w:r>
              <w:t>该基金风险调整后表现和稳定性较好，动态权重更强调Sharpe、滚动正收益比例。</w:t>
            </w:r>
          </w:p>
        </w:tc>
      </w:tr>
      <w:tr>
        <w:tc>
          <w:tcPr>
            <w:tcW w:type="dxa" w:w="1440"/>
          </w:tcPr>
          <w:p>
            <w:r>
              <w:t>3</w:t>
            </w:r>
          </w:p>
        </w:tc>
        <w:tc>
          <w:tcPr>
            <w:tcW w:type="dxa" w:w="1440"/>
          </w:tcPr>
          <w:p>
            <w:r>
              <w:t>000051 华夏沪深300ETF联接A</w:t>
            </w:r>
          </w:p>
        </w:tc>
        <w:tc>
          <w:tcPr>
            <w:tcW w:type="dxa" w:w="1440"/>
          </w:tcPr>
          <w:p>
            <w:r>
              <w:t>58.37</w:t>
            </w:r>
          </w:p>
        </w:tc>
        <w:tc>
          <w:tcPr>
            <w:tcW w:type="dxa" w:w="1440"/>
          </w:tcPr>
          <w:p>
            <w:r>
              <w:t>3</w:t>
            </w:r>
          </w:p>
        </w:tc>
        <w:tc>
          <w:tcPr>
            <w:tcW w:type="dxa" w:w="1440"/>
          </w:tcPr>
          <w:p>
            <w:r>
              <w:t>Calmar 31.7%；Sharpe 27.1%；年化波动 20.0%</w:t>
            </w:r>
          </w:p>
        </w:tc>
        <w:tc>
          <w:tcPr>
            <w:tcW w:type="dxa" w:w="1440"/>
          </w:tcPr>
          <w:p>
            <w:r>
              <w:t>该基金风险压力较高，动态权重更强调年化波动、Calmar。</w:t>
            </w:r>
          </w:p>
        </w:tc>
      </w:tr>
      <w:tr>
        <w:tc>
          <w:tcPr>
            <w:tcW w:type="dxa" w:w="1440"/>
          </w:tcPr>
          <w:p>
            <w:r>
              <w:t>4</w:t>
            </w:r>
          </w:p>
        </w:tc>
        <w:tc>
          <w:tcPr>
            <w:tcW w:type="dxa" w:w="1440"/>
          </w:tcPr>
          <w:p>
            <w:r>
              <w:t>005918 天弘沪深300ETF联接C</w:t>
            </w:r>
          </w:p>
        </w:tc>
        <w:tc>
          <w:tcPr>
            <w:tcW w:type="dxa" w:w="1440"/>
          </w:tcPr>
          <w:p>
            <w:r>
              <w:t>50.05</w:t>
            </w:r>
          </w:p>
        </w:tc>
        <w:tc>
          <w:tcPr>
            <w:tcW w:type="dxa" w:w="1440"/>
          </w:tcPr>
          <w:p>
            <w:r>
              <w:t>4</w:t>
            </w:r>
          </w:p>
        </w:tc>
        <w:tc>
          <w:tcPr>
            <w:tcW w:type="dxa" w:w="1440"/>
          </w:tcPr>
          <w:p>
            <w:r>
              <w:t>Calmar 31.1%；Sharpe 26.5%；年化波动 20.8%</w:t>
            </w:r>
          </w:p>
        </w:tc>
        <w:tc>
          <w:tcPr>
            <w:tcW w:type="dxa" w:w="1440"/>
          </w:tcPr>
          <w:p>
            <w:r>
              <w:t>根据该基金当前因子分布，动态权重更强调年化波动、最大回撤。</w:t>
            </w:r>
          </w:p>
        </w:tc>
      </w:tr>
      <w:tr>
        <w:tc>
          <w:tcPr>
            <w:tcW w:type="dxa" w:w="1440"/>
          </w:tcPr>
          <w:p>
            <w:r>
              <w:t>5</w:t>
            </w:r>
          </w:p>
        </w:tc>
        <w:tc>
          <w:tcPr>
            <w:tcW w:type="dxa" w:w="1440"/>
          </w:tcPr>
          <w:p>
            <w:r>
              <w:t>000071 华夏恒生ETF联接A</w:t>
            </w:r>
          </w:p>
        </w:tc>
        <w:tc>
          <w:tcPr>
            <w:tcW w:type="dxa" w:w="1440"/>
          </w:tcPr>
          <w:p>
            <w:r>
              <w:t>20.00</w:t>
            </w:r>
          </w:p>
        </w:tc>
        <w:tc>
          <w:tcPr>
            <w:tcW w:type="dxa" w:w="1440"/>
          </w:tcPr>
          <w:p>
            <w:r>
              <w:t>5</w:t>
            </w:r>
          </w:p>
        </w:tc>
        <w:tc>
          <w:tcPr>
            <w:tcW w:type="dxa" w:w="1440"/>
          </w:tcPr>
          <w:p>
            <w:r>
              <w:t>Calmar 32.0%；Sharpe 25.3%；年化波动 21.8%</w:t>
            </w:r>
          </w:p>
        </w:tc>
        <w:tc>
          <w:tcPr>
            <w:tcW w:type="dxa" w:w="1440"/>
          </w:tcPr>
          <w:p>
            <w:r>
              <w:t>该基金风险压力较高，动态权重更强调年化波动、最大回撤。</w:t>
            </w:r>
          </w:p>
        </w:tc>
      </w:tr>
    </w:tbl>
    <w:p>
      <w:pPr>
        <w:pStyle w:val="Heading3"/>
      </w:pPr>
      <w:r>
        <w:t>Top 基金动态权重明细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基金</w:t>
            </w:r>
          </w:p>
        </w:tc>
        <w:tc>
          <w:tcPr>
            <w:tcW w:type="dxa" w:w="1234"/>
          </w:tcPr>
          <w:p>
            <w:r>
              <w:rPr>
                <w:b/>
              </w:rPr>
              <w:t>年化收益</w:t>
            </w:r>
          </w:p>
        </w:tc>
        <w:tc>
          <w:tcPr>
            <w:tcW w:type="dxa" w:w="1234"/>
          </w:tcPr>
          <w:p>
            <w:r>
              <w:rPr>
                <w:b/>
              </w:rPr>
              <w:t>Sharpe</w:t>
            </w:r>
          </w:p>
        </w:tc>
        <w:tc>
          <w:tcPr>
            <w:tcW w:type="dxa" w:w="1234"/>
          </w:tcPr>
          <w:p>
            <w:r>
              <w:rPr>
                <w:b/>
              </w:rPr>
              <w:t>最大回撤</w:t>
            </w:r>
          </w:p>
        </w:tc>
        <w:tc>
          <w:tcPr>
            <w:tcW w:type="dxa" w:w="1234"/>
          </w:tcPr>
          <w:p>
            <w:r>
              <w:rPr>
                <w:b/>
              </w:rPr>
              <w:t>Calmar</w:t>
            </w:r>
          </w:p>
        </w:tc>
        <w:tc>
          <w:tcPr>
            <w:tcW w:type="dxa" w:w="1234"/>
          </w:tcPr>
          <w:p>
            <w:r>
              <w:rPr>
                <w:b/>
              </w:rPr>
              <w:t>年化波动</w:t>
            </w:r>
          </w:p>
        </w:tc>
        <w:tc>
          <w:tcPr>
            <w:tcW w:type="dxa" w:w="1234"/>
          </w:tcPr>
          <w:p>
            <w:r>
              <w:rPr>
                <w:b/>
              </w:rPr>
              <w:t>滚动正收益比例</w:t>
            </w:r>
          </w:p>
        </w:tc>
      </w:tr>
      <w:tr>
        <w:tc>
          <w:tcPr>
            <w:tcW w:type="dxa" w:w="1234"/>
          </w:tcPr>
          <w:p>
            <w:r>
              <w:t>001052 华夏中证500ETF联接A</w:t>
            </w:r>
          </w:p>
        </w:tc>
        <w:tc>
          <w:tcPr>
            <w:tcW w:type="dxa" w:w="1234"/>
          </w:tcPr>
          <w:p>
            <w:r>
              <w:t>7.8%</w:t>
            </w:r>
          </w:p>
        </w:tc>
        <w:tc>
          <w:tcPr>
            <w:tcW w:type="dxa" w:w="1234"/>
          </w:tcPr>
          <w:p>
            <w:r>
              <w:t>29.3%</w:t>
            </w:r>
          </w:p>
        </w:tc>
        <w:tc>
          <w:tcPr>
            <w:tcW w:type="dxa" w:w="1234"/>
          </w:tcPr>
          <w:p>
            <w:r>
              <w:t>7.7%</w:t>
            </w:r>
          </w:p>
        </w:tc>
        <w:tc>
          <w:tcPr>
            <w:tcW w:type="dxa" w:w="1234"/>
          </w:tcPr>
          <w:p>
            <w:r>
              <w:t>31.9%</w:t>
            </w:r>
          </w:p>
        </w:tc>
        <w:tc>
          <w:tcPr>
            <w:tcW w:type="dxa" w:w="1234"/>
          </w:tcPr>
          <w:p>
            <w:r>
              <w:t>17.0%</w:t>
            </w:r>
          </w:p>
        </w:tc>
        <w:tc>
          <w:tcPr>
            <w:tcW w:type="dxa" w:w="1234"/>
          </w:tcPr>
          <w:p>
            <w:r>
              <w:t>6.3%</w:t>
            </w:r>
          </w:p>
        </w:tc>
      </w:tr>
      <w:tr>
        <w:tc>
          <w:tcPr>
            <w:tcW w:type="dxa" w:w="1234"/>
          </w:tcPr>
          <w:p>
            <w:r>
              <w:t>110020 易方达沪深300ETF联接A</w:t>
            </w:r>
          </w:p>
        </w:tc>
        <w:tc>
          <w:tcPr>
            <w:tcW w:type="dxa" w:w="1234"/>
          </w:tcPr>
          <w:p>
            <w:r>
              <w:t>7.9%</w:t>
            </w:r>
          </w:p>
        </w:tc>
        <w:tc>
          <w:tcPr>
            <w:tcW w:type="dxa" w:w="1234"/>
          </w:tcPr>
          <w:p>
            <w:r>
              <w:t>28.6%</w:t>
            </w:r>
          </w:p>
        </w:tc>
        <w:tc>
          <w:tcPr>
            <w:tcW w:type="dxa" w:w="1234"/>
          </w:tcPr>
          <w:p>
            <w:r>
              <w:t>7.6%</w:t>
            </w:r>
          </w:p>
        </w:tc>
        <w:tc>
          <w:tcPr>
            <w:tcW w:type="dxa" w:w="1234"/>
          </w:tcPr>
          <w:p>
            <w:r>
              <w:t>31.1%</w:t>
            </w:r>
          </w:p>
        </w:tc>
        <w:tc>
          <w:tcPr>
            <w:tcW w:type="dxa" w:w="1234"/>
          </w:tcPr>
          <w:p>
            <w:r>
              <w:t>18.6%</w:t>
            </w:r>
          </w:p>
        </w:tc>
        <w:tc>
          <w:tcPr>
            <w:tcW w:type="dxa" w:w="1234"/>
          </w:tcPr>
          <w:p>
            <w:r>
              <w:t>6.2%</w:t>
            </w:r>
          </w:p>
        </w:tc>
      </w:tr>
      <w:tr>
        <w:tc>
          <w:tcPr>
            <w:tcW w:type="dxa" w:w="1234"/>
          </w:tcPr>
          <w:p>
            <w:r>
              <w:t>000051 华夏沪深300ETF联接A</w:t>
            </w:r>
          </w:p>
        </w:tc>
        <w:tc>
          <w:tcPr>
            <w:tcW w:type="dxa" w:w="1234"/>
          </w:tcPr>
          <w:p>
            <w:r>
              <w:t>7.3%</w:t>
            </w:r>
          </w:p>
        </w:tc>
        <w:tc>
          <w:tcPr>
            <w:tcW w:type="dxa" w:w="1234"/>
          </w:tcPr>
          <w:p>
            <w:r>
              <w:t>27.1%</w:t>
            </w:r>
          </w:p>
        </w:tc>
        <w:tc>
          <w:tcPr>
            <w:tcW w:type="dxa" w:w="1234"/>
          </w:tcPr>
          <w:p>
            <w:r>
              <w:t>8.2%</w:t>
            </w:r>
          </w:p>
        </w:tc>
        <w:tc>
          <w:tcPr>
            <w:tcW w:type="dxa" w:w="1234"/>
          </w:tcPr>
          <w:p>
            <w:r>
              <w:t>31.7%</w:t>
            </w:r>
          </w:p>
        </w:tc>
        <w:tc>
          <w:tcPr>
            <w:tcW w:type="dxa" w:w="1234"/>
          </w:tcPr>
          <w:p>
            <w:r>
              <w:t>20.0%</w:t>
            </w:r>
          </w:p>
        </w:tc>
        <w:tc>
          <w:tcPr>
            <w:tcW w:type="dxa" w:w="1234"/>
          </w:tcPr>
          <w:p>
            <w:r>
              <w:t>5.8%</w:t>
            </w:r>
          </w:p>
        </w:tc>
      </w:tr>
      <w:tr>
        <w:tc>
          <w:tcPr>
            <w:tcW w:type="dxa" w:w="1234"/>
          </w:tcPr>
          <w:p>
            <w:r>
              <w:t>005918 天弘沪深300ETF联接C</w:t>
            </w:r>
          </w:p>
        </w:tc>
        <w:tc>
          <w:tcPr>
            <w:tcW w:type="dxa" w:w="1234"/>
          </w:tcPr>
          <w:p>
            <w:r>
              <w:t>7.3%</w:t>
            </w:r>
          </w:p>
        </w:tc>
        <w:tc>
          <w:tcPr>
            <w:tcW w:type="dxa" w:w="1234"/>
          </w:tcPr>
          <w:p>
            <w:r>
              <w:t>26.5%</w:t>
            </w:r>
          </w:p>
        </w:tc>
        <w:tc>
          <w:tcPr>
            <w:tcW w:type="dxa" w:w="1234"/>
          </w:tcPr>
          <w:p>
            <w:r>
              <w:t>8.5%</w:t>
            </w:r>
          </w:p>
        </w:tc>
        <w:tc>
          <w:tcPr>
            <w:tcW w:type="dxa" w:w="1234"/>
          </w:tcPr>
          <w:p>
            <w:r>
              <w:t>31.1%</w:t>
            </w:r>
          </w:p>
        </w:tc>
        <w:tc>
          <w:tcPr>
            <w:tcW w:type="dxa" w:w="1234"/>
          </w:tcPr>
          <w:p>
            <w:r>
              <w:t>20.8%</w:t>
            </w:r>
          </w:p>
        </w:tc>
        <w:tc>
          <w:tcPr>
            <w:tcW w:type="dxa" w:w="1234"/>
          </w:tcPr>
          <w:p>
            <w:r>
              <w:t>5.7%</w:t>
            </w:r>
          </w:p>
        </w:tc>
      </w:tr>
      <w:tr>
        <w:tc>
          <w:tcPr>
            <w:tcW w:type="dxa" w:w="1234"/>
          </w:tcPr>
          <w:p>
            <w:r>
              <w:t>000071 华夏恒生ETF联接A</w:t>
            </w:r>
          </w:p>
        </w:tc>
        <w:tc>
          <w:tcPr>
            <w:tcW w:type="dxa" w:w="1234"/>
          </w:tcPr>
          <w:p>
            <w:r>
              <w:t>6.3%</w:t>
            </w:r>
          </w:p>
        </w:tc>
        <w:tc>
          <w:tcPr>
            <w:tcW w:type="dxa" w:w="1234"/>
          </w:tcPr>
          <w:p>
            <w:r>
              <w:t>25.3%</w:t>
            </w:r>
          </w:p>
        </w:tc>
        <w:tc>
          <w:tcPr>
            <w:tcW w:type="dxa" w:w="1234"/>
          </w:tcPr>
          <w:p>
            <w:r>
              <w:t>9.2%</w:t>
            </w:r>
          </w:p>
        </w:tc>
        <w:tc>
          <w:tcPr>
            <w:tcW w:type="dxa" w:w="1234"/>
          </w:tcPr>
          <w:p>
            <w:r>
              <w:t>32.0%</w:t>
            </w:r>
          </w:p>
        </w:tc>
        <w:tc>
          <w:tcPr>
            <w:tcW w:type="dxa" w:w="1234"/>
          </w:tcPr>
          <w:p>
            <w:r>
              <w:t>21.8%</w:t>
            </w:r>
          </w:p>
        </w:tc>
        <w:tc>
          <w:tcPr>
            <w:tcW w:type="dxa" w:w="1234"/>
          </w:tcPr>
          <w:p>
            <w:r>
              <w:t>5.5%</w:t>
            </w:r>
          </w:p>
        </w:tc>
      </w:tr>
    </w:tbl>
    <w:p>
      <w:pPr>
        <w:pStyle w:val="Heading2"/>
      </w:pPr>
      <w:r>
        <w:t>Top 10 基金排名</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排名</w:t>
            </w:r>
          </w:p>
        </w:tc>
        <w:tc>
          <w:tcPr>
            <w:tcW w:type="dxa" w:w="665"/>
          </w:tcPr>
          <w:p>
            <w:r>
              <w:rPr>
                <w:b/>
              </w:rPr>
              <w:t>基金</w:t>
            </w:r>
          </w:p>
        </w:tc>
        <w:tc>
          <w:tcPr>
            <w:tcW w:type="dxa" w:w="665"/>
          </w:tcPr>
          <w:p>
            <w:r>
              <w:rPr>
                <w:b/>
              </w:rPr>
              <w:t>类型</w:t>
            </w:r>
          </w:p>
        </w:tc>
        <w:tc>
          <w:tcPr>
            <w:tcW w:type="dxa" w:w="665"/>
          </w:tcPr>
          <w:p>
            <w:r>
              <w:rPr>
                <w:b/>
              </w:rPr>
              <w:t>同类排名</w:t>
            </w:r>
          </w:p>
        </w:tc>
        <w:tc>
          <w:tcPr>
            <w:tcW w:type="dxa" w:w="665"/>
          </w:tcPr>
          <w:p>
            <w:r>
              <w:rPr>
                <w:b/>
              </w:rPr>
              <w:t>综合评分</w:t>
            </w:r>
          </w:p>
        </w:tc>
        <w:tc>
          <w:tcPr>
            <w:tcW w:type="dxa" w:w="665"/>
          </w:tcPr>
          <w:p>
            <w:r>
              <w:rPr>
                <w:b/>
              </w:rPr>
              <w:t>风险等级</w:t>
            </w:r>
          </w:p>
        </w:tc>
        <w:tc>
          <w:tcPr>
            <w:tcW w:type="dxa" w:w="665"/>
          </w:tcPr>
          <w:p>
            <w:r>
              <w:rPr>
                <w:b/>
              </w:rPr>
              <w:t>数据质量</w:t>
            </w:r>
          </w:p>
        </w:tc>
        <w:tc>
          <w:tcPr>
            <w:tcW w:type="dxa" w:w="665"/>
          </w:tcPr>
          <w:p>
            <w:r>
              <w:rPr>
                <w:b/>
              </w:rPr>
              <w:t>决策辅助标签</w:t>
            </w:r>
          </w:p>
        </w:tc>
        <w:tc>
          <w:tcPr>
            <w:tcW w:type="dxa" w:w="665"/>
          </w:tcPr>
          <w:p>
            <w:r>
              <w:rPr>
                <w:b/>
              </w:rPr>
              <w:t>年化收益率</w:t>
            </w:r>
          </w:p>
        </w:tc>
        <w:tc>
          <w:tcPr>
            <w:tcW w:type="dxa" w:w="665"/>
          </w:tcPr>
          <w:p>
            <w:r>
              <w:rPr>
                <w:b/>
              </w:rPr>
              <w:t>年化波动率</w:t>
            </w:r>
          </w:p>
        </w:tc>
        <w:tc>
          <w:tcPr>
            <w:tcW w:type="dxa" w:w="665"/>
          </w:tcPr>
          <w:p>
            <w:r>
              <w:rPr>
                <w:b/>
              </w:rPr>
              <w:t>最大回撤</w:t>
            </w:r>
          </w:p>
        </w:tc>
        <w:tc>
          <w:tcPr>
            <w:tcW w:type="dxa" w:w="665"/>
          </w:tcPr>
          <w:p>
            <w:r>
              <w:rPr>
                <w:b/>
              </w:rPr>
              <w:t>Sharpe</w:t>
            </w:r>
          </w:p>
        </w:tc>
        <w:tc>
          <w:tcPr>
            <w:tcW w:type="dxa" w:w="665"/>
          </w:tcPr>
          <w:p>
            <w:r>
              <w:rPr>
                <w:b/>
              </w:rPr>
              <w:t>Calmar</w:t>
            </w:r>
          </w:p>
        </w:tc>
      </w:tr>
      <w:tr>
        <w:tc>
          <w:tcPr>
            <w:tcW w:type="dxa" w:w="665"/>
          </w:tcPr>
          <w:p>
            <w:r>
              <w:t>1</w:t>
            </w:r>
          </w:p>
        </w:tc>
        <w:tc>
          <w:tcPr>
            <w:tcW w:type="dxa" w:w="665"/>
          </w:tcPr>
          <w:p>
            <w:r>
              <w:t>001052 华夏中证500ETF联接A</w:t>
            </w:r>
          </w:p>
        </w:tc>
        <w:tc>
          <w:tcPr>
            <w:tcW w:type="dxa" w:w="665"/>
          </w:tcPr>
          <w:p>
            <w:r>
              <w:t>未分类</w:t>
            </w:r>
          </w:p>
        </w:tc>
        <w:tc>
          <w:tcPr>
            <w:tcW w:type="dxa" w:w="665"/>
          </w:tcPr>
          <w:p>
            <w:r>
              <w:t>1</w:t>
            </w:r>
          </w:p>
        </w:tc>
        <w:tc>
          <w:tcPr>
            <w:tcW w:type="dxa" w:w="665"/>
          </w:tcPr>
          <w:p>
            <w:r>
              <w:t>94.000</w:t>
            </w:r>
          </w:p>
        </w:tc>
        <w:tc>
          <w:tcPr>
            <w:tcW w:type="dxa" w:w="665"/>
          </w:tcPr>
          <w:p>
            <w:r>
              <w:t>中高风险</w:t>
            </w:r>
          </w:p>
        </w:tc>
        <w:tc>
          <w:tcPr>
            <w:tcW w:type="dxa" w:w="665"/>
          </w:tcPr>
          <w:p>
            <w:r>
              <w:t>数据较充分</w:t>
            </w:r>
          </w:p>
        </w:tc>
        <w:tc>
          <w:tcPr>
            <w:tcW w:type="dxa" w:w="665"/>
          </w:tcPr>
          <w:p>
            <w:r>
              <w:t>重点观察</w:t>
            </w:r>
          </w:p>
        </w:tc>
        <w:tc>
          <w:tcPr>
            <w:tcW w:type="dxa" w:w="665"/>
          </w:tcPr>
          <w:p>
            <w:r>
              <w:t>6.74%</w:t>
            </w:r>
          </w:p>
        </w:tc>
        <w:tc>
          <w:tcPr>
            <w:tcW w:type="dxa" w:w="665"/>
          </w:tcPr>
          <w:p>
            <w:r>
              <w:t>20.11%</w:t>
            </w:r>
          </w:p>
        </w:tc>
        <w:tc>
          <w:tcPr>
            <w:tcW w:type="dxa" w:w="665"/>
          </w:tcPr>
          <w:p>
            <w:r>
              <w:t>-38.18%</w:t>
            </w:r>
          </w:p>
        </w:tc>
        <w:tc>
          <w:tcPr>
            <w:tcW w:type="dxa" w:w="665"/>
          </w:tcPr>
          <w:p>
            <w:r>
              <w:t>0.236</w:t>
            </w:r>
          </w:p>
        </w:tc>
        <w:tc>
          <w:tcPr>
            <w:tcW w:type="dxa" w:w="665"/>
          </w:tcPr>
          <w:p>
            <w:r>
              <w:t>0.177</w:t>
            </w:r>
          </w:p>
        </w:tc>
      </w:tr>
      <w:tr>
        <w:tc>
          <w:tcPr>
            <w:tcW w:type="dxa" w:w="665"/>
          </w:tcPr>
          <w:p>
            <w:r>
              <w:t>2</w:t>
            </w:r>
          </w:p>
        </w:tc>
        <w:tc>
          <w:tcPr>
            <w:tcW w:type="dxa" w:w="665"/>
          </w:tcPr>
          <w:p>
            <w:r>
              <w:t>110020 易方达沪深300ETF联接A</w:t>
            </w:r>
          </w:p>
        </w:tc>
        <w:tc>
          <w:tcPr>
            <w:tcW w:type="dxa" w:w="665"/>
          </w:tcPr>
          <w:p>
            <w:r>
              <w:t>指数型</w:t>
            </w:r>
          </w:p>
        </w:tc>
        <w:tc>
          <w:tcPr>
            <w:tcW w:type="dxa" w:w="665"/>
          </w:tcPr>
          <w:p>
            <w:r>
              <w:t>1</w:t>
            </w:r>
          </w:p>
        </w:tc>
        <w:tc>
          <w:tcPr>
            <w:tcW w:type="dxa" w:w="665"/>
          </w:tcPr>
          <w:p>
            <w:r>
              <w:t>82.000</w:t>
            </w:r>
          </w:p>
        </w:tc>
        <w:tc>
          <w:tcPr>
            <w:tcW w:type="dxa" w:w="665"/>
          </w:tcPr>
          <w:p>
            <w:r>
              <w:t>中高风险</w:t>
            </w:r>
          </w:p>
        </w:tc>
        <w:tc>
          <w:tcPr>
            <w:tcW w:type="dxa" w:w="665"/>
          </w:tcPr>
          <w:p>
            <w:r>
              <w:t>数据较充分</w:t>
            </w:r>
          </w:p>
        </w:tc>
        <w:tc>
          <w:tcPr>
            <w:tcW w:type="dxa" w:w="665"/>
          </w:tcPr>
          <w:p>
            <w:r>
              <w:t>重点观察</w:t>
            </w:r>
          </w:p>
        </w:tc>
        <w:tc>
          <w:tcPr>
            <w:tcW w:type="dxa" w:w="665"/>
          </w:tcPr>
          <w:p>
            <w:r>
              <w:t>0.43%</w:t>
            </w:r>
          </w:p>
        </w:tc>
        <w:tc>
          <w:tcPr>
            <w:tcW w:type="dxa" w:w="665"/>
          </w:tcPr>
          <w:p>
            <w:r>
              <w:t>17.00%</w:t>
            </w:r>
          </w:p>
        </w:tc>
        <w:tc>
          <w:tcPr>
            <w:tcW w:type="dxa" w:w="665"/>
          </w:tcPr>
          <w:p>
            <w:r>
              <w:t>-39.43%</w:t>
            </w:r>
          </w:p>
        </w:tc>
        <w:tc>
          <w:tcPr>
            <w:tcW w:type="dxa" w:w="665"/>
          </w:tcPr>
          <w:p>
            <w:r>
              <w:t>-0.092</w:t>
            </w:r>
          </w:p>
        </w:tc>
        <w:tc>
          <w:tcPr>
            <w:tcW w:type="dxa" w:w="665"/>
          </w:tcPr>
          <w:p>
            <w:r>
              <w:t>0.011</w:t>
            </w:r>
          </w:p>
        </w:tc>
      </w:tr>
      <w:tr>
        <w:tc>
          <w:tcPr>
            <w:tcW w:type="dxa" w:w="665"/>
          </w:tcPr>
          <w:p>
            <w:r>
              <w:t>3</w:t>
            </w:r>
          </w:p>
        </w:tc>
        <w:tc>
          <w:tcPr>
            <w:tcW w:type="dxa" w:w="665"/>
          </w:tcPr>
          <w:p>
            <w:r>
              <w:t>000051 华夏沪深300ETF联接A</w:t>
            </w:r>
          </w:p>
        </w:tc>
        <w:tc>
          <w:tcPr>
            <w:tcW w:type="dxa" w:w="665"/>
          </w:tcPr>
          <w:p>
            <w:r>
              <w:t>指数型</w:t>
            </w:r>
          </w:p>
        </w:tc>
        <w:tc>
          <w:tcPr>
            <w:tcW w:type="dxa" w:w="665"/>
          </w:tcPr>
          <w:p>
            <w:r>
              <w:t>2</w:t>
            </w:r>
          </w:p>
        </w:tc>
        <w:tc>
          <w:tcPr>
            <w:tcW w:type="dxa" w:w="665"/>
          </w:tcPr>
          <w:p>
            <w:r>
              <w:t>56.000</w:t>
            </w:r>
          </w:p>
        </w:tc>
        <w:tc>
          <w:tcPr>
            <w:tcW w:type="dxa" w:w="665"/>
          </w:tcPr>
          <w:p>
            <w:r>
              <w:t>中高风险</w:t>
            </w:r>
          </w:p>
        </w:tc>
        <w:tc>
          <w:tcPr>
            <w:tcW w:type="dxa" w:w="665"/>
          </w:tcPr>
          <w:p>
            <w:r>
              <w:t>数据较充分</w:t>
            </w:r>
          </w:p>
        </w:tc>
        <w:tc>
          <w:tcPr>
            <w:tcW w:type="dxa" w:w="665"/>
          </w:tcPr>
          <w:p>
            <w:r>
              <w:t>暂不优先</w:t>
            </w:r>
          </w:p>
        </w:tc>
        <w:tc>
          <w:tcPr>
            <w:tcW w:type="dxa" w:w="665"/>
          </w:tcPr>
          <w:p>
            <w:r>
              <w:t>0.18%</w:t>
            </w:r>
          </w:p>
        </w:tc>
        <w:tc>
          <w:tcPr>
            <w:tcW w:type="dxa" w:w="665"/>
          </w:tcPr>
          <w:p>
            <w:r>
              <w:t>17.22%</w:t>
            </w:r>
          </w:p>
        </w:tc>
        <w:tc>
          <w:tcPr>
            <w:tcW w:type="dxa" w:w="665"/>
          </w:tcPr>
          <w:p>
            <w:r>
              <w:t>-40.32%</w:t>
            </w:r>
          </w:p>
        </w:tc>
        <w:tc>
          <w:tcPr>
            <w:tcW w:type="dxa" w:w="665"/>
          </w:tcPr>
          <w:p>
            <w:r>
              <w:t>-0.105</w:t>
            </w:r>
          </w:p>
        </w:tc>
        <w:tc>
          <w:tcPr>
            <w:tcW w:type="dxa" w:w="665"/>
          </w:tcPr>
          <w:p>
            <w:r>
              <w:t>0.005</w:t>
            </w:r>
          </w:p>
        </w:tc>
      </w:tr>
      <w:tr>
        <w:tc>
          <w:tcPr>
            <w:tcW w:type="dxa" w:w="665"/>
          </w:tcPr>
          <w:p>
            <w:r>
              <w:t>4</w:t>
            </w:r>
          </w:p>
        </w:tc>
        <w:tc>
          <w:tcPr>
            <w:tcW w:type="dxa" w:w="665"/>
          </w:tcPr>
          <w:p>
            <w:r>
              <w:t>005918 天弘沪深300ETF联接C</w:t>
            </w:r>
          </w:p>
        </w:tc>
        <w:tc>
          <w:tcPr>
            <w:tcW w:type="dxa" w:w="665"/>
          </w:tcPr>
          <w:p>
            <w:r>
              <w:t>指数型</w:t>
            </w:r>
          </w:p>
        </w:tc>
        <w:tc>
          <w:tcPr>
            <w:tcW w:type="dxa" w:w="665"/>
          </w:tcPr>
          <w:p>
            <w:r>
              <w:t>3</w:t>
            </w:r>
          </w:p>
        </w:tc>
        <w:tc>
          <w:tcPr>
            <w:tcW w:type="dxa" w:w="665"/>
          </w:tcPr>
          <w:p>
            <w:r>
              <w:t>48.000</w:t>
            </w:r>
          </w:p>
        </w:tc>
        <w:tc>
          <w:tcPr>
            <w:tcW w:type="dxa" w:w="665"/>
          </w:tcPr>
          <w:p>
            <w:r>
              <w:t>中高风险</w:t>
            </w:r>
          </w:p>
        </w:tc>
        <w:tc>
          <w:tcPr>
            <w:tcW w:type="dxa" w:w="665"/>
          </w:tcPr>
          <w:p>
            <w:r>
              <w:t>数据较充分</w:t>
            </w:r>
          </w:p>
        </w:tc>
        <w:tc>
          <w:tcPr>
            <w:tcW w:type="dxa" w:w="665"/>
          </w:tcPr>
          <w:p>
            <w:r>
              <w:t>暂不优先</w:t>
            </w:r>
          </w:p>
        </w:tc>
        <w:tc>
          <w:tcPr>
            <w:tcW w:type="dxa" w:w="665"/>
          </w:tcPr>
          <w:p>
            <w:r>
              <w:t>0.14%</w:t>
            </w:r>
          </w:p>
        </w:tc>
        <w:tc>
          <w:tcPr>
            <w:tcW w:type="dxa" w:w="665"/>
          </w:tcPr>
          <w:p>
            <w:r>
              <w:t>17.07%</w:t>
            </w:r>
          </w:p>
        </w:tc>
        <w:tc>
          <w:tcPr>
            <w:tcW w:type="dxa" w:w="665"/>
          </w:tcPr>
          <w:p>
            <w:r>
              <w:t>-40.21%</w:t>
            </w:r>
          </w:p>
        </w:tc>
        <w:tc>
          <w:tcPr>
            <w:tcW w:type="dxa" w:w="665"/>
          </w:tcPr>
          <w:p>
            <w:r>
              <w:t>-0.109</w:t>
            </w:r>
          </w:p>
        </w:tc>
        <w:tc>
          <w:tcPr>
            <w:tcW w:type="dxa" w:w="665"/>
          </w:tcPr>
          <w:p>
            <w:r>
              <w:t>0.003</w:t>
            </w:r>
          </w:p>
        </w:tc>
      </w:tr>
      <w:tr>
        <w:tc>
          <w:tcPr>
            <w:tcW w:type="dxa" w:w="665"/>
          </w:tcPr>
          <w:p>
            <w:r>
              <w:t>5</w:t>
            </w:r>
          </w:p>
        </w:tc>
        <w:tc>
          <w:tcPr>
            <w:tcW w:type="dxa" w:w="665"/>
          </w:tcPr>
          <w:p>
            <w:r>
              <w:t>000071 华夏恒生ETF联接A</w:t>
            </w:r>
          </w:p>
        </w:tc>
        <w:tc>
          <w:tcPr>
            <w:tcW w:type="dxa" w:w="665"/>
          </w:tcPr>
          <w:p>
            <w:r>
              <w:t>指数型</w:t>
            </w:r>
          </w:p>
        </w:tc>
        <w:tc>
          <w:tcPr>
            <w:tcW w:type="dxa" w:w="665"/>
          </w:tcPr>
          <w:p>
            <w:r>
              <w:t>4</w:t>
            </w:r>
          </w:p>
        </w:tc>
        <w:tc>
          <w:tcPr>
            <w:tcW w:type="dxa" w:w="665"/>
          </w:tcPr>
          <w:p>
            <w:r>
              <w:t>20.000</w:t>
            </w:r>
          </w:p>
        </w:tc>
        <w:tc>
          <w:tcPr>
            <w:tcW w:type="dxa" w:w="665"/>
          </w:tcPr>
          <w:p>
            <w:r>
              <w:t>中高风险</w:t>
            </w:r>
          </w:p>
        </w:tc>
        <w:tc>
          <w:tcPr>
            <w:tcW w:type="dxa" w:w="665"/>
          </w:tcPr>
          <w:p>
            <w:r>
              <w:t>数据较充分</w:t>
            </w:r>
          </w:p>
        </w:tc>
        <w:tc>
          <w:tcPr>
            <w:tcW w:type="dxa" w:w="665"/>
          </w:tcPr>
          <w:p>
            <w:r>
              <w:t>暂不优先</w:t>
            </w:r>
          </w:p>
        </w:tc>
        <w:tc>
          <w:tcPr>
            <w:tcW w:type="dxa" w:w="665"/>
          </w:tcPr>
          <w:p>
            <w:r>
              <w:t>-0.47%</w:t>
            </w:r>
          </w:p>
        </w:tc>
        <w:tc>
          <w:tcPr>
            <w:tcW w:type="dxa" w:w="665"/>
          </w:tcPr>
          <w:p>
            <w:r>
              <w:t>22.55%</w:t>
            </w:r>
          </w:p>
        </w:tc>
        <w:tc>
          <w:tcPr>
            <w:tcW w:type="dxa" w:w="665"/>
          </w:tcPr>
          <w:p>
            <w:r>
              <w:t>-45.22%</w:t>
            </w:r>
          </w:p>
        </w:tc>
        <w:tc>
          <w:tcPr>
            <w:tcW w:type="dxa" w:w="665"/>
          </w:tcPr>
          <w:p>
            <w:r>
              <w:t>-0.110</w:t>
            </w:r>
          </w:p>
        </w:tc>
        <w:tc>
          <w:tcPr>
            <w:tcW w:type="dxa" w:w="665"/>
          </w:tcPr>
          <w:p>
            <w:r>
              <w:t>-0.010</w:t>
            </w:r>
          </w:p>
        </w:tc>
      </w:tr>
    </w:tbl>
    <w:p>
      <w:pPr>
        <w:pStyle w:val="Heading2"/>
      </w:pPr>
      <w:r>
        <w:t>核心结论</w:t>
      </w:r>
    </w:p>
    <w:p>
      <w:r>
        <w:t>在 balanced 权重假设下，排名第一的基金为 001052 华夏中证500ETF联接A，综合评分为 94.000，风险等级为 中高风险，决策辅助标签为 重点观察。该基金的年化收益率为 6.74%，年化波动率为 20.11%，最大回撤为 -38.18%，Sharpe Ratio 为 0.236，Calmar Ratio 为 0.177。</w:t>
      </w:r>
    </w:p>
    <w:p>
      <w:r>
        <w:t>模型采用百分位归一化方法，将收益率、波动率、最大回撤、Sharpe、Calmar 和滚动正收益比例等不同量纲的指标转化为 0-100 分的因子得分，再按照投资者风险偏好进行加权汇总。因此，排名结果不只是“收益率最高”的排序，而是同时考虑收益能力、风险控制、风险调整后收益和收益稳定性的综合评价。</w:t>
      </w:r>
    </w:p>
    <w:p>
      <w:pPr>
        <w:pStyle w:val="Heading2"/>
      </w:pPr>
      <w:r>
        <w:t>决策辅助说明</w:t>
      </w:r>
    </w:p>
    <w:p>
      <w:r>
        <w:t>系统输出的 重点观察、可观察、高回撤预警 和 暂不优先 是基于历史净值指标的研究标签。它们适合用于缩小基金研究范围和辅助比较，不应被理解为直接买入、持有或卖出建议。</w:t>
      </w:r>
    </w:p>
    <w:p>
      <w:pPr>
        <w:pStyle w:val="Heading2"/>
      </w:pPr>
      <w:r>
        <w:t>结果解释</w:t>
      </w:r>
    </w:p>
    <w:p>
      <w:pPr>
        <w:pStyle w:val="ListBullet"/>
      </w:pPr>
      <w:r>
        <w:t>001052 华夏中证500ETF联接A：该基金归类为未分类，综合表现靠前，波动或回撤压力较明显，风险调整后收益为正。</w:t>
      </w:r>
    </w:p>
    <w:p>
      <w:pPr>
        <w:pStyle w:val="ListBullet"/>
      </w:pPr>
      <w:r>
        <w:t>110020 易方达沪深300ETF联接A：该基金归类为指数型，综合表现靠前，波动或回撤压力较明显，风险调整后收益偏弱。</w:t>
      </w:r>
    </w:p>
    <w:p>
      <w:pPr>
        <w:pStyle w:val="ListBullet"/>
      </w:pPr>
      <w:r>
        <w:t>000051 华夏沪深300ETF联接A：该基金归类为指数型，综合表现相对靠后，波动或回撤压力较明显，风险调整后收益偏弱。</w:t>
      </w:r>
    </w:p>
    <w:p>
      <w:pPr>
        <w:pStyle w:val="ListBullet"/>
      </w:pPr>
      <w:r>
        <w:t>005918 天弘沪深300ETF联接C：该基金归类为指数型，综合表现相对靠后，波动或回撤压力较明显，风险调整后收益偏弱。</w:t>
      </w:r>
    </w:p>
    <w:p>
      <w:pPr>
        <w:pStyle w:val="ListBullet"/>
      </w:pPr>
      <w:r>
        <w:t>000071 华夏恒生ETF联接A：该基金归类为指数型，综合表现相对靠后，波动或回撤压力较明显，风险调整后收益偏弱。</w:t>
      </w:r>
    </w:p>
    <w:p>
      <w:pPr>
        <w:pStyle w:val="Heading2"/>
      </w:pPr>
      <w:r>
        <w:t>生成图表</w:t>
      </w:r>
    </w:p>
    <w:p>
      <w:pPr>
        <w:pStyle w:val="ListBullet"/>
      </w:pPr>
      <w:r>
        <w:t>reports/web/runs/20260715_080824_203893/top_scores_balanced.png</w:t>
      </w:r>
    </w:p>
    <w:p>
      <w:pPr>
        <w:pStyle w:val="ListBullet"/>
      </w:pPr>
      <w:r>
        <w:t>reports/web/runs/20260715_080824_203893/risk_return_balanced.png</w:t>
      </w:r>
    </w:p>
    <w:p>
      <w:pPr>
        <w:pStyle w:val="ListBullet"/>
      </w:pPr>
      <w:r>
        <w:t>reports/web/runs/20260715_080824_203893/nav_top_balanced.png</w:t>
      </w:r>
    </w:p>
    <w:p>
      <w:pPr>
        <w:pStyle w:val="ListBullet"/>
      </w:pPr>
      <w:r>
        <w:t>reports/web/runs/20260715_080824_203893/drawdown_top_balanced.png</w:t>
      </w:r>
    </w:p>
    <w:p>
      <w:r>
        <w:br w:type="page"/>
      </w:r>
    </w:p>
    <w:p>
      <w:pPr>
        <w:pStyle w:val="Heading1"/>
      </w:pPr>
      <w:r>
        <w:t>基准与同类对比报告</w:t>
      </w:r>
    </w:p>
    <w:p>
      <w:pPr>
        <w:pStyle w:val="Heading1"/>
      </w:pPr>
      <w:r>
        <w:t>基准与同类对比报告</w:t>
      </w:r>
    </w:p>
    <w:p>
      <w:pPr>
        <w:pStyle w:val="Heading2"/>
      </w:pPr>
      <w:r>
        <w:t>定位</w:t>
      </w:r>
    </w:p>
    <w:p>
      <w:r>
        <w:t>本报告用于把 balanced 排名结果放到更实用的参照系里：一方面比较原始 Top N、动态权重 Top N、ML Top N 与基金池等权基准；另一方面给出每只基金在本次基金池和同类基金中的相对位置。</w:t>
      </w:r>
    </w:p>
    <w:p>
      <w:pPr>
        <w:pStyle w:val="Heading2"/>
      </w:pPr>
      <w:r>
        <w:t>组合基准对比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组合</w:t>
            </w:r>
          </w:p>
        </w:tc>
        <w:tc>
          <w:tcPr>
            <w:tcW w:type="dxa" w:w="1234"/>
          </w:tcPr>
          <w:p>
            <w:r>
              <w:rPr>
                <w:b/>
              </w:rPr>
              <w:t>基金数</w:t>
            </w:r>
          </w:p>
        </w:tc>
        <w:tc>
          <w:tcPr>
            <w:tcW w:type="dxa" w:w="1234"/>
          </w:tcPr>
          <w:p>
            <w:r>
              <w:rPr>
                <w:b/>
              </w:rPr>
              <w:t>年化收益</w:t>
            </w:r>
          </w:p>
        </w:tc>
        <w:tc>
          <w:tcPr>
            <w:tcW w:type="dxa" w:w="1234"/>
          </w:tcPr>
          <w:p>
            <w:r>
              <w:rPr>
                <w:b/>
              </w:rPr>
              <w:t>年化波动</w:t>
            </w:r>
          </w:p>
        </w:tc>
        <w:tc>
          <w:tcPr>
            <w:tcW w:type="dxa" w:w="1234"/>
          </w:tcPr>
          <w:p>
            <w:r>
              <w:rPr>
                <w:b/>
              </w:rPr>
              <w:t>最大回撤</w:t>
            </w:r>
          </w:p>
        </w:tc>
        <w:tc>
          <w:tcPr>
            <w:tcW w:type="dxa" w:w="1234"/>
          </w:tcPr>
          <w:p>
            <w:r>
              <w:rPr>
                <w:b/>
              </w:rPr>
              <w:t>Sharpe</w:t>
            </w:r>
          </w:p>
        </w:tc>
        <w:tc>
          <w:tcPr>
            <w:tcW w:type="dxa" w:w="1234"/>
          </w:tcPr>
          <w:p>
            <w:r>
              <w:rPr>
                <w:b/>
              </w:rPr>
              <w:t>胜率</w:t>
            </w:r>
          </w:p>
        </w:tc>
      </w:tr>
      <w:tr>
        <w:tc>
          <w:tcPr>
            <w:tcW w:type="dxa" w:w="1234"/>
          </w:tcPr>
          <w:p>
            <w:r>
              <w:t>原始TopN等权</w:t>
            </w:r>
          </w:p>
        </w:tc>
        <w:tc>
          <w:tcPr>
            <w:tcW w:type="dxa" w:w="1234"/>
          </w:tcPr>
          <w:p>
            <w:r>
              <w:t>5</w:t>
            </w:r>
          </w:p>
        </w:tc>
        <w:tc>
          <w:tcPr>
            <w:tcW w:type="dxa" w:w="1234"/>
          </w:tcPr>
          <w:p>
            <w:r>
              <w:t>1.72%</w:t>
            </w:r>
          </w:p>
        </w:tc>
        <w:tc>
          <w:tcPr>
            <w:tcW w:type="dxa" w:w="1234"/>
          </w:tcPr>
          <w:p>
            <w:r>
              <w:t>17.01%</w:t>
            </w:r>
          </w:p>
        </w:tc>
        <w:tc>
          <w:tcPr>
            <w:tcW w:type="dxa" w:w="1234"/>
          </w:tcPr>
          <w:p>
            <w:r>
              <w:t>-37.39%</w:t>
            </w:r>
          </w:p>
        </w:tc>
        <w:tc>
          <w:tcPr>
            <w:tcW w:type="dxa" w:w="1234"/>
          </w:tcPr>
          <w:p>
            <w:r>
              <w:t>0.10</w:t>
            </w:r>
          </w:p>
        </w:tc>
        <w:tc>
          <w:tcPr>
            <w:tcW w:type="dxa" w:w="1234"/>
          </w:tcPr>
          <w:p>
            <w:r>
              <w:t>49.0%</w:t>
            </w:r>
          </w:p>
        </w:tc>
      </w:tr>
      <w:tr>
        <w:tc>
          <w:tcPr>
            <w:tcW w:type="dxa" w:w="1234"/>
          </w:tcPr>
          <w:p>
            <w:r>
              <w:t>动态权重TopN等权</w:t>
            </w:r>
          </w:p>
        </w:tc>
        <w:tc>
          <w:tcPr>
            <w:tcW w:type="dxa" w:w="1234"/>
          </w:tcPr>
          <w:p>
            <w:r>
              <w:t>5</w:t>
            </w:r>
          </w:p>
        </w:tc>
        <w:tc>
          <w:tcPr>
            <w:tcW w:type="dxa" w:w="1234"/>
          </w:tcPr>
          <w:p>
            <w:r>
              <w:t>1.72%</w:t>
            </w:r>
          </w:p>
        </w:tc>
        <w:tc>
          <w:tcPr>
            <w:tcW w:type="dxa" w:w="1234"/>
          </w:tcPr>
          <w:p>
            <w:r>
              <w:t>17.01%</w:t>
            </w:r>
          </w:p>
        </w:tc>
        <w:tc>
          <w:tcPr>
            <w:tcW w:type="dxa" w:w="1234"/>
          </w:tcPr>
          <w:p>
            <w:r>
              <w:t>-37.39%</w:t>
            </w:r>
          </w:p>
        </w:tc>
        <w:tc>
          <w:tcPr>
            <w:tcW w:type="dxa" w:w="1234"/>
          </w:tcPr>
          <w:p>
            <w:r>
              <w:t>0.10</w:t>
            </w:r>
          </w:p>
        </w:tc>
        <w:tc>
          <w:tcPr>
            <w:tcW w:type="dxa" w:w="1234"/>
          </w:tcPr>
          <w:p>
            <w:r>
              <w:t>49.0%</w:t>
            </w:r>
          </w:p>
        </w:tc>
      </w:tr>
      <w:tr>
        <w:tc>
          <w:tcPr>
            <w:tcW w:type="dxa" w:w="1234"/>
          </w:tcPr>
          <w:p>
            <w:r>
              <w:t>ML TopN等权</w:t>
            </w:r>
          </w:p>
        </w:tc>
        <w:tc>
          <w:tcPr>
            <w:tcW w:type="dxa" w:w="1234"/>
          </w:tcPr>
          <w:p>
            <w:r>
              <w:t>5</w:t>
            </w:r>
          </w:p>
        </w:tc>
        <w:tc>
          <w:tcPr>
            <w:tcW w:type="dxa" w:w="1234"/>
          </w:tcPr>
          <w:p>
            <w:r>
              <w:t>1.72%</w:t>
            </w:r>
          </w:p>
        </w:tc>
        <w:tc>
          <w:tcPr>
            <w:tcW w:type="dxa" w:w="1234"/>
          </w:tcPr>
          <w:p>
            <w:r>
              <w:t>17.01%</w:t>
            </w:r>
          </w:p>
        </w:tc>
        <w:tc>
          <w:tcPr>
            <w:tcW w:type="dxa" w:w="1234"/>
          </w:tcPr>
          <w:p>
            <w:r>
              <w:t>-37.39%</w:t>
            </w:r>
          </w:p>
        </w:tc>
        <w:tc>
          <w:tcPr>
            <w:tcW w:type="dxa" w:w="1234"/>
          </w:tcPr>
          <w:p>
            <w:r>
              <w:t>0.10</w:t>
            </w:r>
          </w:p>
        </w:tc>
        <w:tc>
          <w:tcPr>
            <w:tcW w:type="dxa" w:w="1234"/>
          </w:tcPr>
          <w:p>
            <w:r>
              <w:t>49.0%</w:t>
            </w:r>
          </w:p>
        </w:tc>
      </w:tr>
      <w:tr>
        <w:tc>
          <w:tcPr>
            <w:tcW w:type="dxa" w:w="1234"/>
          </w:tcPr>
          <w:p>
            <w:r>
              <w:t>基金池等权基准</w:t>
            </w:r>
          </w:p>
        </w:tc>
        <w:tc>
          <w:tcPr>
            <w:tcW w:type="dxa" w:w="1234"/>
          </w:tcPr>
          <w:p>
            <w:r>
              <w:t>5</w:t>
            </w:r>
          </w:p>
        </w:tc>
        <w:tc>
          <w:tcPr>
            <w:tcW w:type="dxa" w:w="1234"/>
          </w:tcPr>
          <w:p>
            <w:r>
              <w:t>1.72%</w:t>
            </w:r>
          </w:p>
        </w:tc>
        <w:tc>
          <w:tcPr>
            <w:tcW w:type="dxa" w:w="1234"/>
          </w:tcPr>
          <w:p>
            <w:r>
              <w:t>17.01%</w:t>
            </w:r>
          </w:p>
        </w:tc>
        <w:tc>
          <w:tcPr>
            <w:tcW w:type="dxa" w:w="1234"/>
          </w:tcPr>
          <w:p>
            <w:r>
              <w:t>-37.39%</w:t>
            </w:r>
          </w:p>
        </w:tc>
        <w:tc>
          <w:tcPr>
            <w:tcW w:type="dxa" w:w="1234"/>
          </w:tcPr>
          <w:p>
            <w:r>
              <w:t>0.10</w:t>
            </w:r>
          </w:p>
        </w:tc>
        <w:tc>
          <w:tcPr>
            <w:tcW w:type="dxa" w:w="1234"/>
          </w:tcPr>
          <w:p>
            <w:r>
              <w:t>49.0%</w:t>
            </w:r>
          </w:p>
        </w:tc>
      </w:tr>
    </w:tbl>
    <w:p>
      <w:pPr>
        <w:pStyle w:val="Heading2"/>
      </w:pPr>
      <w:r>
        <w:t>Top 10 同类/基金池位置</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基金</w:t>
            </w:r>
          </w:p>
        </w:tc>
        <w:tc>
          <w:tcPr>
            <w:tcW w:type="dxa" w:w="1080"/>
          </w:tcPr>
          <w:p>
            <w:r>
              <w:rPr>
                <w:b/>
              </w:rPr>
              <w:t>基金池排名</w:t>
            </w:r>
          </w:p>
        </w:tc>
        <w:tc>
          <w:tcPr>
            <w:tcW w:type="dxa" w:w="1080"/>
          </w:tcPr>
          <w:p>
            <w:r>
              <w:rPr>
                <w:b/>
              </w:rPr>
              <w:t>基金池百分位</w:t>
            </w:r>
          </w:p>
        </w:tc>
        <w:tc>
          <w:tcPr>
            <w:tcW w:type="dxa" w:w="1080"/>
          </w:tcPr>
          <w:p>
            <w:r>
              <w:rPr>
                <w:b/>
              </w:rPr>
              <w:t>同类排名</w:t>
            </w:r>
          </w:p>
        </w:tc>
        <w:tc>
          <w:tcPr>
            <w:tcW w:type="dxa" w:w="1080"/>
          </w:tcPr>
          <w:p>
            <w:r>
              <w:rPr>
                <w:b/>
              </w:rPr>
              <w:t>同类百分位</w:t>
            </w:r>
          </w:p>
        </w:tc>
        <w:tc>
          <w:tcPr>
            <w:tcW w:type="dxa" w:w="1080"/>
          </w:tcPr>
          <w:p>
            <w:r>
              <w:rPr>
                <w:b/>
              </w:rPr>
              <w:t>动态排名</w:t>
            </w:r>
          </w:p>
        </w:tc>
        <w:tc>
          <w:tcPr>
            <w:tcW w:type="dxa" w:w="1080"/>
          </w:tcPr>
          <w:p>
            <w:r>
              <w:rPr>
                <w:b/>
              </w:rPr>
              <w:t>ML排名</w:t>
            </w:r>
          </w:p>
        </w:tc>
        <w:tc>
          <w:tcPr>
            <w:tcW w:type="dxa" w:w="1080"/>
          </w:tcPr>
          <w:p>
            <w:r>
              <w:rPr>
                <w:b/>
              </w:rPr>
              <w:t>风险等级</w:t>
            </w:r>
          </w:p>
        </w:tc>
      </w:tr>
      <w:tr>
        <w:tc>
          <w:tcPr>
            <w:tcW w:type="dxa" w:w="1080"/>
          </w:tcPr>
          <w:p>
            <w:r>
              <w:t>001052 华夏中证500ETF联接A</w:t>
            </w:r>
          </w:p>
        </w:tc>
        <w:tc>
          <w:tcPr>
            <w:tcW w:type="dxa" w:w="1080"/>
          </w:tcPr>
          <w:p>
            <w:r>
              <w:t>1</w:t>
            </w:r>
          </w:p>
        </w:tc>
        <w:tc>
          <w:tcPr>
            <w:tcW w:type="dxa" w:w="1080"/>
          </w:tcPr>
          <w:p>
            <w:r>
              <w:t>100.0%</w:t>
            </w:r>
          </w:p>
        </w:tc>
        <w:tc>
          <w:tcPr>
            <w:tcW w:type="dxa" w:w="1080"/>
          </w:tcPr>
          <w:p>
            <w:r>
              <w:t>1/1</w:t>
            </w:r>
          </w:p>
        </w:tc>
        <w:tc>
          <w:tcPr>
            <w:tcW w:type="dxa" w:w="1080"/>
          </w:tcPr>
          <w:p>
            <w:r>
              <w:t>100.0%</w:t>
            </w:r>
          </w:p>
        </w:tc>
        <w:tc>
          <w:tcPr>
            <w:tcW w:type="dxa" w:w="1080"/>
          </w:tcPr>
          <w:p>
            <w:r>
              <w:t>1</w:t>
            </w:r>
          </w:p>
        </w:tc>
        <w:tc>
          <w:tcPr>
            <w:tcW w:type="dxa" w:w="1080"/>
          </w:tcPr>
          <w:p>
            <w:r>
              <w:t>1</w:t>
            </w:r>
          </w:p>
        </w:tc>
        <w:tc>
          <w:tcPr>
            <w:tcW w:type="dxa" w:w="1080"/>
          </w:tcPr>
          <w:p>
            <w:r>
              <w:t>中高风险</w:t>
            </w:r>
          </w:p>
        </w:tc>
      </w:tr>
      <w:tr>
        <w:tc>
          <w:tcPr>
            <w:tcW w:type="dxa" w:w="1080"/>
          </w:tcPr>
          <w:p>
            <w:r>
              <w:t>110020 易方达沪深300ETF联接A</w:t>
            </w:r>
          </w:p>
        </w:tc>
        <w:tc>
          <w:tcPr>
            <w:tcW w:type="dxa" w:w="1080"/>
          </w:tcPr>
          <w:p>
            <w:r>
              <w:t>2</w:t>
            </w:r>
          </w:p>
        </w:tc>
        <w:tc>
          <w:tcPr>
            <w:tcW w:type="dxa" w:w="1080"/>
          </w:tcPr>
          <w:p>
            <w:r>
              <w:t>80.0%</w:t>
            </w:r>
          </w:p>
        </w:tc>
        <w:tc>
          <w:tcPr>
            <w:tcW w:type="dxa" w:w="1080"/>
          </w:tcPr>
          <w:p>
            <w:r>
              <w:t>1/4</w:t>
            </w:r>
          </w:p>
        </w:tc>
        <w:tc>
          <w:tcPr>
            <w:tcW w:type="dxa" w:w="1080"/>
          </w:tcPr>
          <w:p>
            <w:r>
              <w:t>100.0%</w:t>
            </w:r>
          </w:p>
        </w:tc>
        <w:tc>
          <w:tcPr>
            <w:tcW w:type="dxa" w:w="1080"/>
          </w:tcPr>
          <w:p>
            <w:r>
              <w:t>2</w:t>
            </w:r>
          </w:p>
        </w:tc>
        <w:tc>
          <w:tcPr>
            <w:tcW w:type="dxa" w:w="1080"/>
          </w:tcPr>
          <w:p>
            <w:r>
              <w:t>2</w:t>
            </w:r>
          </w:p>
        </w:tc>
        <w:tc>
          <w:tcPr>
            <w:tcW w:type="dxa" w:w="1080"/>
          </w:tcPr>
          <w:p>
            <w:r>
              <w:t>中高风险</w:t>
            </w:r>
          </w:p>
        </w:tc>
      </w:tr>
      <w:tr>
        <w:tc>
          <w:tcPr>
            <w:tcW w:type="dxa" w:w="1080"/>
          </w:tcPr>
          <w:p>
            <w:r>
              <w:t>000051 华夏沪深300ETF联接A</w:t>
            </w:r>
          </w:p>
        </w:tc>
        <w:tc>
          <w:tcPr>
            <w:tcW w:type="dxa" w:w="1080"/>
          </w:tcPr>
          <w:p>
            <w:r>
              <w:t>3</w:t>
            </w:r>
          </w:p>
        </w:tc>
        <w:tc>
          <w:tcPr>
            <w:tcW w:type="dxa" w:w="1080"/>
          </w:tcPr>
          <w:p>
            <w:r>
              <w:t>60.0%</w:t>
            </w:r>
          </w:p>
        </w:tc>
        <w:tc>
          <w:tcPr>
            <w:tcW w:type="dxa" w:w="1080"/>
          </w:tcPr>
          <w:p>
            <w:r>
              <w:t>2/4</w:t>
            </w:r>
          </w:p>
        </w:tc>
        <w:tc>
          <w:tcPr>
            <w:tcW w:type="dxa" w:w="1080"/>
          </w:tcPr>
          <w:p>
            <w:r>
              <w:t>75.0%</w:t>
            </w:r>
          </w:p>
        </w:tc>
        <w:tc>
          <w:tcPr>
            <w:tcW w:type="dxa" w:w="1080"/>
          </w:tcPr>
          <w:p>
            <w:r>
              <w:t>3</w:t>
            </w:r>
          </w:p>
        </w:tc>
        <w:tc>
          <w:tcPr>
            <w:tcW w:type="dxa" w:w="1080"/>
          </w:tcPr>
          <w:p>
            <w:r>
              <w:t>3</w:t>
            </w:r>
          </w:p>
        </w:tc>
        <w:tc>
          <w:tcPr>
            <w:tcW w:type="dxa" w:w="1080"/>
          </w:tcPr>
          <w:p>
            <w:r>
              <w:t>中高风险</w:t>
            </w:r>
          </w:p>
        </w:tc>
      </w:tr>
      <w:tr>
        <w:tc>
          <w:tcPr>
            <w:tcW w:type="dxa" w:w="1080"/>
          </w:tcPr>
          <w:p>
            <w:r>
              <w:t>005918 天弘沪深300ETF联接C</w:t>
            </w:r>
          </w:p>
        </w:tc>
        <w:tc>
          <w:tcPr>
            <w:tcW w:type="dxa" w:w="1080"/>
          </w:tcPr>
          <w:p>
            <w:r>
              <w:t>4</w:t>
            </w:r>
          </w:p>
        </w:tc>
        <w:tc>
          <w:tcPr>
            <w:tcW w:type="dxa" w:w="1080"/>
          </w:tcPr>
          <w:p>
            <w:r>
              <w:t>40.0%</w:t>
            </w:r>
          </w:p>
        </w:tc>
        <w:tc>
          <w:tcPr>
            <w:tcW w:type="dxa" w:w="1080"/>
          </w:tcPr>
          <w:p>
            <w:r>
              <w:t>3/4</w:t>
            </w:r>
          </w:p>
        </w:tc>
        <w:tc>
          <w:tcPr>
            <w:tcW w:type="dxa" w:w="1080"/>
          </w:tcPr>
          <w:p>
            <w:r>
              <w:t>50.0%</w:t>
            </w:r>
          </w:p>
        </w:tc>
        <w:tc>
          <w:tcPr>
            <w:tcW w:type="dxa" w:w="1080"/>
          </w:tcPr>
          <w:p>
            <w:r>
              <w:t>4</w:t>
            </w:r>
          </w:p>
        </w:tc>
        <w:tc>
          <w:tcPr>
            <w:tcW w:type="dxa" w:w="1080"/>
          </w:tcPr>
          <w:p>
            <w:r>
              <w:t>4</w:t>
            </w:r>
          </w:p>
        </w:tc>
        <w:tc>
          <w:tcPr>
            <w:tcW w:type="dxa" w:w="1080"/>
          </w:tcPr>
          <w:p>
            <w:r>
              <w:t>中高风险</w:t>
            </w:r>
          </w:p>
        </w:tc>
      </w:tr>
      <w:tr>
        <w:tc>
          <w:tcPr>
            <w:tcW w:type="dxa" w:w="1080"/>
          </w:tcPr>
          <w:p>
            <w:r>
              <w:t>000071 华夏恒生ETF联接A</w:t>
            </w:r>
          </w:p>
        </w:tc>
        <w:tc>
          <w:tcPr>
            <w:tcW w:type="dxa" w:w="1080"/>
          </w:tcPr>
          <w:p>
            <w:r>
              <w:t>5</w:t>
            </w:r>
          </w:p>
        </w:tc>
        <w:tc>
          <w:tcPr>
            <w:tcW w:type="dxa" w:w="1080"/>
          </w:tcPr>
          <w:p>
            <w:r>
              <w:t>20.0%</w:t>
            </w:r>
          </w:p>
        </w:tc>
        <w:tc>
          <w:tcPr>
            <w:tcW w:type="dxa" w:w="1080"/>
          </w:tcPr>
          <w:p>
            <w:r>
              <w:t>4/4</w:t>
            </w:r>
          </w:p>
        </w:tc>
        <w:tc>
          <w:tcPr>
            <w:tcW w:type="dxa" w:w="1080"/>
          </w:tcPr>
          <w:p>
            <w:r>
              <w:t>25.0%</w:t>
            </w:r>
          </w:p>
        </w:tc>
        <w:tc>
          <w:tcPr>
            <w:tcW w:type="dxa" w:w="1080"/>
          </w:tcPr>
          <w:p>
            <w:r>
              <w:t>5</w:t>
            </w:r>
          </w:p>
        </w:tc>
        <w:tc>
          <w:tcPr>
            <w:tcW w:type="dxa" w:w="1080"/>
          </w:tcPr>
          <w:p>
            <w:r>
              <w:t>5</w:t>
            </w:r>
          </w:p>
        </w:tc>
        <w:tc>
          <w:tcPr>
            <w:tcW w:type="dxa" w:w="1080"/>
          </w:tcPr>
          <w:p>
            <w:r>
              <w:t>中高风险</w:t>
            </w:r>
          </w:p>
        </w:tc>
      </w:tr>
    </w:tbl>
    <w:p>
      <w:pPr>
        <w:pStyle w:val="Heading2"/>
      </w:pPr>
      <w:r>
        <w:t>使用边界</w:t>
      </w:r>
    </w:p>
    <w:p>
      <w:r>
        <w:t>默认基准为本次输入基金池的等权组合。如果运行时提供外部基准净值 CSV，本报告也会纳入外部基准行。外部基准适合用于比较沪深300、中证偏股基金指数、中债综合指数等市场参照。</w:t>
      </w:r>
    </w:p>
    <w:p>
      <w:r>
        <w:br w:type="page"/>
      </w:r>
    </w:p>
    <w:p>
      <w:pPr>
        <w:pStyle w:val="Heading1"/>
      </w:pPr>
      <w:r>
        <w:t>组合构建报告</w:t>
      </w:r>
    </w:p>
    <w:p>
      <w:pPr>
        <w:pStyle w:val="Heading1"/>
      </w:pPr>
      <w:r>
        <w:t>组合构建报告</w:t>
      </w:r>
    </w:p>
    <w:p>
      <w:pPr>
        <w:pStyle w:val="Heading2"/>
      </w:pPr>
      <w:r>
        <w:t>定位</w:t>
      </w:r>
    </w:p>
    <w:p>
      <w:r>
        <w:t>本报告把基金筛选结果进一步转化为可观察组合。当前版本默认生成 Top 10 等权组合、动态权重 Top 10 组合、ML Top 10 组合、风险平价组合和回撤约束组合，便于从“选基金”过渡到“组合观察池”。</w:t>
      </w:r>
    </w:p>
    <w:p>
      <w:pPr>
        <w:pStyle w:val="Heading2"/>
      </w:pPr>
      <w:r>
        <w:t>组合表现摘要</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组合</w:t>
            </w:r>
          </w:p>
        </w:tc>
        <w:tc>
          <w:tcPr>
            <w:tcW w:type="dxa" w:w="1234"/>
          </w:tcPr>
          <w:p>
            <w:r>
              <w:rPr>
                <w:b/>
              </w:rPr>
              <w:t>基金数</w:t>
            </w:r>
          </w:p>
        </w:tc>
        <w:tc>
          <w:tcPr>
            <w:tcW w:type="dxa" w:w="1234"/>
          </w:tcPr>
          <w:p>
            <w:r>
              <w:rPr>
                <w:b/>
              </w:rPr>
              <w:t>年化收益</w:t>
            </w:r>
          </w:p>
        </w:tc>
        <w:tc>
          <w:tcPr>
            <w:tcW w:type="dxa" w:w="1234"/>
          </w:tcPr>
          <w:p>
            <w:r>
              <w:rPr>
                <w:b/>
              </w:rPr>
              <w:t>年化波动</w:t>
            </w:r>
          </w:p>
        </w:tc>
        <w:tc>
          <w:tcPr>
            <w:tcW w:type="dxa" w:w="1234"/>
          </w:tcPr>
          <w:p>
            <w:r>
              <w:rPr>
                <w:b/>
              </w:rPr>
              <w:t>最大回撤</w:t>
            </w:r>
          </w:p>
        </w:tc>
        <w:tc>
          <w:tcPr>
            <w:tcW w:type="dxa" w:w="1234"/>
          </w:tcPr>
          <w:p>
            <w:r>
              <w:rPr>
                <w:b/>
              </w:rPr>
              <w:t>Sharpe</w:t>
            </w:r>
          </w:p>
        </w:tc>
        <w:tc>
          <w:tcPr>
            <w:tcW w:type="dxa" w:w="1234"/>
          </w:tcPr>
          <w:p>
            <w:r>
              <w:rPr>
                <w:b/>
              </w:rPr>
              <w:t>胜率</w:t>
            </w:r>
          </w:p>
        </w:tc>
      </w:tr>
      <w:tr>
        <w:tc>
          <w:tcPr>
            <w:tcW w:type="dxa" w:w="1234"/>
          </w:tcPr>
          <w:p>
            <w:r>
              <w:t>ML TopN等权</w:t>
            </w:r>
          </w:p>
        </w:tc>
        <w:tc>
          <w:tcPr>
            <w:tcW w:type="dxa" w:w="1234"/>
          </w:tcPr>
          <w:p>
            <w:r>
              <w:t>5</w:t>
            </w:r>
          </w:p>
        </w:tc>
        <w:tc>
          <w:tcPr>
            <w:tcW w:type="dxa" w:w="1234"/>
          </w:tcPr>
          <w:p>
            <w:r>
              <w:t>1.72%</w:t>
            </w:r>
          </w:p>
        </w:tc>
        <w:tc>
          <w:tcPr>
            <w:tcW w:type="dxa" w:w="1234"/>
          </w:tcPr>
          <w:p>
            <w:r>
              <w:t>17.01%</w:t>
            </w:r>
          </w:p>
        </w:tc>
        <w:tc>
          <w:tcPr>
            <w:tcW w:type="dxa" w:w="1234"/>
          </w:tcPr>
          <w:p>
            <w:r>
              <w:t>-37.39%</w:t>
            </w:r>
          </w:p>
        </w:tc>
        <w:tc>
          <w:tcPr>
            <w:tcW w:type="dxa" w:w="1234"/>
          </w:tcPr>
          <w:p>
            <w:r>
              <w:t>0.10</w:t>
            </w:r>
          </w:p>
        </w:tc>
        <w:tc>
          <w:tcPr>
            <w:tcW w:type="dxa" w:w="1234"/>
          </w:tcPr>
          <w:p>
            <w:r>
              <w:t>49.0%</w:t>
            </w:r>
          </w:p>
        </w:tc>
      </w:tr>
      <w:tr>
        <w:tc>
          <w:tcPr>
            <w:tcW w:type="dxa" w:w="1234"/>
          </w:tcPr>
          <w:p>
            <w:r>
              <w:t>动态权重TopN等权</w:t>
            </w:r>
          </w:p>
        </w:tc>
        <w:tc>
          <w:tcPr>
            <w:tcW w:type="dxa" w:w="1234"/>
          </w:tcPr>
          <w:p>
            <w:r>
              <w:t>5</w:t>
            </w:r>
          </w:p>
        </w:tc>
        <w:tc>
          <w:tcPr>
            <w:tcW w:type="dxa" w:w="1234"/>
          </w:tcPr>
          <w:p>
            <w:r>
              <w:t>1.72%</w:t>
            </w:r>
          </w:p>
        </w:tc>
        <w:tc>
          <w:tcPr>
            <w:tcW w:type="dxa" w:w="1234"/>
          </w:tcPr>
          <w:p>
            <w:r>
              <w:t>17.01%</w:t>
            </w:r>
          </w:p>
        </w:tc>
        <w:tc>
          <w:tcPr>
            <w:tcW w:type="dxa" w:w="1234"/>
          </w:tcPr>
          <w:p>
            <w:r>
              <w:t>-37.39%</w:t>
            </w:r>
          </w:p>
        </w:tc>
        <w:tc>
          <w:tcPr>
            <w:tcW w:type="dxa" w:w="1234"/>
          </w:tcPr>
          <w:p>
            <w:r>
              <w:t>0.10</w:t>
            </w:r>
          </w:p>
        </w:tc>
        <w:tc>
          <w:tcPr>
            <w:tcW w:type="dxa" w:w="1234"/>
          </w:tcPr>
          <w:p>
            <w:r>
              <w:t>49.0%</w:t>
            </w:r>
          </w:p>
        </w:tc>
      </w:tr>
      <w:tr>
        <w:tc>
          <w:tcPr>
            <w:tcW w:type="dxa" w:w="1234"/>
          </w:tcPr>
          <w:p>
            <w:r>
              <w:t>原始TopN等权</w:t>
            </w:r>
          </w:p>
        </w:tc>
        <w:tc>
          <w:tcPr>
            <w:tcW w:type="dxa" w:w="1234"/>
          </w:tcPr>
          <w:p>
            <w:r>
              <w:t>5</w:t>
            </w:r>
          </w:p>
        </w:tc>
        <w:tc>
          <w:tcPr>
            <w:tcW w:type="dxa" w:w="1234"/>
          </w:tcPr>
          <w:p>
            <w:r>
              <w:t>1.72%</w:t>
            </w:r>
          </w:p>
        </w:tc>
        <w:tc>
          <w:tcPr>
            <w:tcW w:type="dxa" w:w="1234"/>
          </w:tcPr>
          <w:p>
            <w:r>
              <w:t>17.01%</w:t>
            </w:r>
          </w:p>
        </w:tc>
        <w:tc>
          <w:tcPr>
            <w:tcW w:type="dxa" w:w="1234"/>
          </w:tcPr>
          <w:p>
            <w:r>
              <w:t>-37.39%</w:t>
            </w:r>
          </w:p>
        </w:tc>
        <w:tc>
          <w:tcPr>
            <w:tcW w:type="dxa" w:w="1234"/>
          </w:tcPr>
          <w:p>
            <w:r>
              <w:t>0.10</w:t>
            </w:r>
          </w:p>
        </w:tc>
        <w:tc>
          <w:tcPr>
            <w:tcW w:type="dxa" w:w="1234"/>
          </w:tcPr>
          <w:p>
            <w:r>
              <w:t>49.0%</w:t>
            </w:r>
          </w:p>
        </w:tc>
      </w:tr>
      <w:tr>
        <w:tc>
          <w:tcPr>
            <w:tcW w:type="dxa" w:w="1234"/>
          </w:tcPr>
          <w:p>
            <w:r>
              <w:t>回撤约束组合</w:t>
            </w:r>
          </w:p>
        </w:tc>
        <w:tc>
          <w:tcPr>
            <w:tcW w:type="dxa" w:w="1234"/>
          </w:tcPr>
          <w:p>
            <w:r>
              <w:t>5</w:t>
            </w:r>
          </w:p>
        </w:tc>
        <w:tc>
          <w:tcPr>
            <w:tcW w:type="dxa" w:w="1234"/>
          </w:tcPr>
          <w:p>
            <w:r>
              <w:t>1.72%</w:t>
            </w:r>
          </w:p>
        </w:tc>
        <w:tc>
          <w:tcPr>
            <w:tcW w:type="dxa" w:w="1234"/>
          </w:tcPr>
          <w:p>
            <w:r>
              <w:t>17.01%</w:t>
            </w:r>
          </w:p>
        </w:tc>
        <w:tc>
          <w:tcPr>
            <w:tcW w:type="dxa" w:w="1234"/>
          </w:tcPr>
          <w:p>
            <w:r>
              <w:t>-37.39%</w:t>
            </w:r>
          </w:p>
        </w:tc>
        <w:tc>
          <w:tcPr>
            <w:tcW w:type="dxa" w:w="1234"/>
          </w:tcPr>
          <w:p>
            <w:r>
              <w:t>0.10</w:t>
            </w:r>
          </w:p>
        </w:tc>
        <w:tc>
          <w:tcPr>
            <w:tcW w:type="dxa" w:w="1234"/>
          </w:tcPr>
          <w:p>
            <w:r>
              <w:t>49.0%</w:t>
            </w:r>
          </w:p>
        </w:tc>
      </w:tr>
      <w:tr>
        <w:tc>
          <w:tcPr>
            <w:tcW w:type="dxa" w:w="1234"/>
          </w:tcPr>
          <w:p>
            <w:r>
              <w:t>约束优化组合</w:t>
            </w:r>
          </w:p>
        </w:tc>
        <w:tc>
          <w:tcPr>
            <w:tcW w:type="dxa" w:w="1234"/>
          </w:tcPr>
          <w:p>
            <w:r>
              <w:t>3</w:t>
            </w:r>
          </w:p>
        </w:tc>
        <w:tc>
          <w:tcPr>
            <w:tcW w:type="dxa" w:w="1234"/>
          </w:tcPr>
          <w:p>
            <w:r>
              <w:t>2.79%</w:t>
            </w:r>
          </w:p>
        </w:tc>
        <w:tc>
          <w:tcPr>
            <w:tcW w:type="dxa" w:w="1234"/>
          </w:tcPr>
          <w:p>
            <w:r>
              <w:t>17.37%</w:t>
            </w:r>
          </w:p>
        </w:tc>
        <w:tc>
          <w:tcPr>
            <w:tcW w:type="dxa" w:w="1234"/>
          </w:tcPr>
          <w:p>
            <w:r>
              <w:t>-35.77%</w:t>
            </w:r>
          </w:p>
        </w:tc>
        <w:tc>
          <w:tcPr>
            <w:tcW w:type="dxa" w:w="1234"/>
          </w:tcPr>
          <w:p>
            <w:r>
              <w:t>0.16</w:t>
            </w:r>
          </w:p>
        </w:tc>
        <w:tc>
          <w:tcPr>
            <w:tcW w:type="dxa" w:w="1234"/>
          </w:tcPr>
          <w:p>
            <w:r>
              <w:t>49.4%</w:t>
            </w:r>
          </w:p>
        </w:tc>
      </w:tr>
      <w:tr>
        <w:tc>
          <w:tcPr>
            <w:tcW w:type="dxa" w:w="1234"/>
          </w:tcPr>
          <w:p>
            <w:r>
              <w:t>风险平价组合</w:t>
            </w:r>
          </w:p>
        </w:tc>
        <w:tc>
          <w:tcPr>
            <w:tcW w:type="dxa" w:w="1234"/>
          </w:tcPr>
          <w:p>
            <w:r>
              <w:t>5</w:t>
            </w:r>
          </w:p>
        </w:tc>
        <w:tc>
          <w:tcPr>
            <w:tcW w:type="dxa" w:w="1234"/>
          </w:tcPr>
          <w:p>
            <w:r>
              <w:t>1.60%</w:t>
            </w:r>
          </w:p>
        </w:tc>
        <w:tc>
          <w:tcPr>
            <w:tcW w:type="dxa" w:w="1234"/>
          </w:tcPr>
          <w:p>
            <w:r>
              <w:t>16.98%</w:t>
            </w:r>
          </w:p>
        </w:tc>
        <w:tc>
          <w:tcPr>
            <w:tcW w:type="dxa" w:w="1234"/>
          </w:tcPr>
          <w:p>
            <w:r>
              <w:t>-37.52%</w:t>
            </w:r>
          </w:p>
        </w:tc>
        <w:tc>
          <w:tcPr>
            <w:tcW w:type="dxa" w:w="1234"/>
          </w:tcPr>
          <w:p>
            <w:r>
              <w:t>0.09</w:t>
            </w:r>
          </w:p>
        </w:tc>
        <w:tc>
          <w:tcPr>
            <w:tcW w:type="dxa" w:w="1234"/>
          </w:tcPr>
          <w:p>
            <w:r>
              <w:t>49.4%</w:t>
            </w:r>
          </w:p>
        </w:tc>
      </w:tr>
    </w:tbl>
    <w:p>
      <w:pPr>
        <w:pStyle w:val="Heading2"/>
      </w:pPr>
      <w:r>
        <w:t>用户组合约束</w:t>
      </w:r>
    </w:p>
    <w:p>
      <w:pPr>
        <w:pStyle w:val="ListBullet"/>
      </w:pPr>
      <w:r>
        <w:t>组合目标：进取组合</w:t>
      </w:r>
    </w:p>
    <w:p>
      <w:pPr>
        <w:pStyle w:val="ListBullet"/>
      </w:pPr>
      <w:r>
        <w:t>持仓数量：3 - 8 只</w:t>
      </w:r>
    </w:p>
    <w:p>
      <w:pPr>
        <w:pStyle w:val="ListBullet"/>
      </w:pPr>
      <w:r>
        <w:t>单只基金最大权重：35.0%</w:t>
      </w:r>
    </w:p>
    <w:p>
      <w:pPr>
        <w:pStyle w:val="ListBullet"/>
      </w:pPr>
      <w:r>
        <w:t>同类型基金最大占比：65.0%</w:t>
      </w:r>
    </w:p>
    <w:p>
      <w:pPr>
        <w:pStyle w:val="ListBullet"/>
      </w:pPr>
      <w:r>
        <w:t>基金间最高相关阈值：0.90</w:t>
      </w:r>
    </w:p>
    <w:p>
      <w:pPr>
        <w:pStyle w:val="ListBullet"/>
      </w:pPr>
      <w:r>
        <w:t>基金最大回撤下限：-45.0%</w:t>
      </w:r>
    </w:p>
    <w:p>
      <w:pPr>
        <w:pStyle w:val="ListBullet"/>
      </w:pPr>
      <w:r>
        <w:t>最低 Sharpe：0.00</w:t>
      </w:r>
    </w:p>
    <w:p>
      <w:pPr>
        <w:pStyle w:val="ListBullet"/>
      </w:pPr>
      <w:r>
        <w:t>再平衡间隔：63 天</w:t>
      </w:r>
    </w:p>
    <w:p>
      <w:pPr>
        <w:pStyle w:val="ListBullet"/>
      </w:pPr>
      <w:r>
        <w:t>单期最大换手率：60.0%</w:t>
      </w:r>
    </w:p>
    <w:p>
      <w:pPr>
        <w:pStyle w:val="ListBullet"/>
      </w:pPr>
      <w:r>
        <w:t>交易成本假设：0.0 bps</w:t>
      </w:r>
    </w:p>
    <w:p>
      <w:pPr>
        <w:pStyle w:val="Heading2"/>
      </w:pPr>
      <w:r>
        <w:t>组合持仓权重</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组合</w:t>
            </w:r>
          </w:p>
        </w:tc>
        <w:tc>
          <w:tcPr>
            <w:tcW w:type="dxa" w:w="1728"/>
          </w:tcPr>
          <w:p>
            <w:r>
              <w:rPr>
                <w:b/>
              </w:rPr>
              <w:t>基金</w:t>
            </w:r>
          </w:p>
        </w:tc>
        <w:tc>
          <w:tcPr>
            <w:tcW w:type="dxa" w:w="1728"/>
          </w:tcPr>
          <w:p>
            <w:r>
              <w:rPr>
                <w:b/>
              </w:rPr>
              <w:t>权重</w:t>
            </w:r>
          </w:p>
        </w:tc>
        <w:tc>
          <w:tcPr>
            <w:tcW w:type="dxa" w:w="1728"/>
          </w:tcPr>
          <w:p>
            <w:r>
              <w:rPr>
                <w:b/>
              </w:rPr>
              <w:t>风险等级</w:t>
            </w:r>
          </w:p>
        </w:tc>
        <w:tc>
          <w:tcPr>
            <w:tcW w:type="dxa" w:w="1728"/>
          </w:tcPr>
          <w:p>
            <w:r>
              <w:rPr>
                <w:b/>
              </w:rPr>
              <w:t>标签</w:t>
            </w:r>
          </w:p>
        </w:tc>
      </w:tr>
      <w:tr>
        <w:tc>
          <w:tcPr>
            <w:tcW w:type="dxa" w:w="1728"/>
          </w:tcPr>
          <w:p>
            <w:r>
              <w:t>ML TopN等权</w:t>
            </w:r>
          </w:p>
        </w:tc>
        <w:tc>
          <w:tcPr>
            <w:tcW w:type="dxa" w:w="1728"/>
          </w:tcPr>
          <w:p>
            <w:r>
              <w:t>001052 华夏中证500ETF联接A</w:t>
            </w:r>
          </w:p>
        </w:tc>
        <w:tc>
          <w:tcPr>
            <w:tcW w:type="dxa" w:w="1728"/>
          </w:tcPr>
          <w:p>
            <w:r>
              <w:t>20.0%</w:t>
            </w:r>
          </w:p>
        </w:tc>
        <w:tc>
          <w:tcPr>
            <w:tcW w:type="dxa" w:w="1728"/>
          </w:tcPr>
          <w:p>
            <w:r>
              <w:t>中高风险</w:t>
            </w:r>
          </w:p>
        </w:tc>
        <w:tc>
          <w:tcPr>
            <w:tcW w:type="dxa" w:w="1728"/>
          </w:tcPr>
          <w:p>
            <w:r>
              <w:t>重点观察</w:t>
            </w:r>
          </w:p>
        </w:tc>
      </w:tr>
      <w:tr>
        <w:tc>
          <w:tcPr>
            <w:tcW w:type="dxa" w:w="1728"/>
          </w:tcPr>
          <w:p>
            <w:r>
              <w:t>ML TopN等权</w:t>
            </w:r>
          </w:p>
        </w:tc>
        <w:tc>
          <w:tcPr>
            <w:tcW w:type="dxa" w:w="1728"/>
          </w:tcPr>
          <w:p>
            <w:r>
              <w:t>110020 易方达沪深300ETF联接A</w:t>
            </w:r>
          </w:p>
        </w:tc>
        <w:tc>
          <w:tcPr>
            <w:tcW w:type="dxa" w:w="1728"/>
          </w:tcPr>
          <w:p>
            <w:r>
              <w:t>20.0%</w:t>
            </w:r>
          </w:p>
        </w:tc>
        <w:tc>
          <w:tcPr>
            <w:tcW w:type="dxa" w:w="1728"/>
          </w:tcPr>
          <w:p>
            <w:r>
              <w:t>中高风险</w:t>
            </w:r>
          </w:p>
        </w:tc>
        <w:tc>
          <w:tcPr>
            <w:tcW w:type="dxa" w:w="1728"/>
          </w:tcPr>
          <w:p>
            <w:r>
              <w:t>重点观察</w:t>
            </w:r>
          </w:p>
        </w:tc>
      </w:tr>
      <w:tr>
        <w:tc>
          <w:tcPr>
            <w:tcW w:type="dxa" w:w="1728"/>
          </w:tcPr>
          <w:p>
            <w:r>
              <w:t>ML TopN等权</w:t>
            </w:r>
          </w:p>
        </w:tc>
        <w:tc>
          <w:tcPr>
            <w:tcW w:type="dxa" w:w="1728"/>
          </w:tcPr>
          <w:p>
            <w:r>
              <w:t>000051 华夏沪深300ETF联接A</w:t>
            </w:r>
          </w:p>
        </w:tc>
        <w:tc>
          <w:tcPr>
            <w:tcW w:type="dxa" w:w="1728"/>
          </w:tcPr>
          <w:p>
            <w:r>
              <w:t>20.0%</w:t>
            </w:r>
          </w:p>
        </w:tc>
        <w:tc>
          <w:tcPr>
            <w:tcW w:type="dxa" w:w="1728"/>
          </w:tcPr>
          <w:p>
            <w:r>
              <w:t>中高风险</w:t>
            </w:r>
          </w:p>
        </w:tc>
        <w:tc>
          <w:tcPr>
            <w:tcW w:type="dxa" w:w="1728"/>
          </w:tcPr>
          <w:p>
            <w:r>
              <w:t>暂不优先</w:t>
            </w:r>
          </w:p>
        </w:tc>
      </w:tr>
      <w:tr>
        <w:tc>
          <w:tcPr>
            <w:tcW w:type="dxa" w:w="1728"/>
          </w:tcPr>
          <w:p>
            <w:r>
              <w:t>ML TopN等权</w:t>
            </w:r>
          </w:p>
        </w:tc>
        <w:tc>
          <w:tcPr>
            <w:tcW w:type="dxa" w:w="1728"/>
          </w:tcPr>
          <w:p>
            <w:r>
              <w:t>005918 天弘沪深300ETF联接C</w:t>
            </w:r>
          </w:p>
        </w:tc>
        <w:tc>
          <w:tcPr>
            <w:tcW w:type="dxa" w:w="1728"/>
          </w:tcPr>
          <w:p>
            <w:r>
              <w:t>20.0%</w:t>
            </w:r>
          </w:p>
        </w:tc>
        <w:tc>
          <w:tcPr>
            <w:tcW w:type="dxa" w:w="1728"/>
          </w:tcPr>
          <w:p>
            <w:r>
              <w:t>中高风险</w:t>
            </w:r>
          </w:p>
        </w:tc>
        <w:tc>
          <w:tcPr>
            <w:tcW w:type="dxa" w:w="1728"/>
          </w:tcPr>
          <w:p>
            <w:r>
              <w:t>暂不优先</w:t>
            </w:r>
          </w:p>
        </w:tc>
      </w:tr>
      <w:tr>
        <w:tc>
          <w:tcPr>
            <w:tcW w:type="dxa" w:w="1728"/>
          </w:tcPr>
          <w:p>
            <w:r>
              <w:t>ML TopN等权</w:t>
            </w:r>
          </w:p>
        </w:tc>
        <w:tc>
          <w:tcPr>
            <w:tcW w:type="dxa" w:w="1728"/>
          </w:tcPr>
          <w:p>
            <w:r>
              <w:t>000071 华夏恒生ETF联接A</w:t>
            </w:r>
          </w:p>
        </w:tc>
        <w:tc>
          <w:tcPr>
            <w:tcW w:type="dxa" w:w="1728"/>
          </w:tcPr>
          <w:p>
            <w:r>
              <w:t>20.0%</w:t>
            </w:r>
          </w:p>
        </w:tc>
        <w:tc>
          <w:tcPr>
            <w:tcW w:type="dxa" w:w="1728"/>
          </w:tcPr>
          <w:p>
            <w:r>
              <w:t>中高风险</w:t>
            </w:r>
          </w:p>
        </w:tc>
        <w:tc>
          <w:tcPr>
            <w:tcW w:type="dxa" w:w="1728"/>
          </w:tcPr>
          <w:p>
            <w:r>
              <w:t>暂不优先</w:t>
            </w:r>
          </w:p>
        </w:tc>
      </w:tr>
      <w:tr>
        <w:tc>
          <w:tcPr>
            <w:tcW w:type="dxa" w:w="1728"/>
          </w:tcPr>
          <w:p>
            <w:r>
              <w:t>动态权重TopN等权</w:t>
            </w:r>
          </w:p>
        </w:tc>
        <w:tc>
          <w:tcPr>
            <w:tcW w:type="dxa" w:w="1728"/>
          </w:tcPr>
          <w:p>
            <w:r>
              <w:t>001052 华夏中证500ETF联接A</w:t>
            </w:r>
          </w:p>
        </w:tc>
        <w:tc>
          <w:tcPr>
            <w:tcW w:type="dxa" w:w="1728"/>
          </w:tcPr>
          <w:p>
            <w:r>
              <w:t>20.0%</w:t>
            </w:r>
          </w:p>
        </w:tc>
        <w:tc>
          <w:tcPr>
            <w:tcW w:type="dxa" w:w="1728"/>
          </w:tcPr>
          <w:p>
            <w:r>
              <w:t>中高风险</w:t>
            </w:r>
          </w:p>
        </w:tc>
        <w:tc>
          <w:tcPr>
            <w:tcW w:type="dxa" w:w="1728"/>
          </w:tcPr>
          <w:p>
            <w:r>
              <w:t>重点观察</w:t>
            </w:r>
          </w:p>
        </w:tc>
      </w:tr>
      <w:tr>
        <w:tc>
          <w:tcPr>
            <w:tcW w:type="dxa" w:w="1728"/>
          </w:tcPr>
          <w:p>
            <w:r>
              <w:t>动态权重TopN等权</w:t>
            </w:r>
          </w:p>
        </w:tc>
        <w:tc>
          <w:tcPr>
            <w:tcW w:type="dxa" w:w="1728"/>
          </w:tcPr>
          <w:p>
            <w:r>
              <w:t>110020 易方达沪深300ETF联接A</w:t>
            </w:r>
          </w:p>
        </w:tc>
        <w:tc>
          <w:tcPr>
            <w:tcW w:type="dxa" w:w="1728"/>
          </w:tcPr>
          <w:p>
            <w:r>
              <w:t>20.0%</w:t>
            </w:r>
          </w:p>
        </w:tc>
        <w:tc>
          <w:tcPr>
            <w:tcW w:type="dxa" w:w="1728"/>
          </w:tcPr>
          <w:p>
            <w:r>
              <w:t>中高风险</w:t>
            </w:r>
          </w:p>
        </w:tc>
        <w:tc>
          <w:tcPr>
            <w:tcW w:type="dxa" w:w="1728"/>
          </w:tcPr>
          <w:p>
            <w:r>
              <w:t>重点观察</w:t>
            </w:r>
          </w:p>
        </w:tc>
      </w:tr>
      <w:tr>
        <w:tc>
          <w:tcPr>
            <w:tcW w:type="dxa" w:w="1728"/>
          </w:tcPr>
          <w:p>
            <w:r>
              <w:t>动态权重TopN等权</w:t>
            </w:r>
          </w:p>
        </w:tc>
        <w:tc>
          <w:tcPr>
            <w:tcW w:type="dxa" w:w="1728"/>
          </w:tcPr>
          <w:p>
            <w:r>
              <w:t>000051 华夏沪深300ETF联接A</w:t>
            </w:r>
          </w:p>
        </w:tc>
        <w:tc>
          <w:tcPr>
            <w:tcW w:type="dxa" w:w="1728"/>
          </w:tcPr>
          <w:p>
            <w:r>
              <w:t>20.0%</w:t>
            </w:r>
          </w:p>
        </w:tc>
        <w:tc>
          <w:tcPr>
            <w:tcW w:type="dxa" w:w="1728"/>
          </w:tcPr>
          <w:p>
            <w:r>
              <w:t>中高风险</w:t>
            </w:r>
          </w:p>
        </w:tc>
        <w:tc>
          <w:tcPr>
            <w:tcW w:type="dxa" w:w="1728"/>
          </w:tcPr>
          <w:p>
            <w:r>
              <w:t>暂不优先</w:t>
            </w:r>
          </w:p>
        </w:tc>
      </w:tr>
      <w:tr>
        <w:tc>
          <w:tcPr>
            <w:tcW w:type="dxa" w:w="1728"/>
          </w:tcPr>
          <w:p>
            <w:r>
              <w:t>动态权重TopN等权</w:t>
            </w:r>
          </w:p>
        </w:tc>
        <w:tc>
          <w:tcPr>
            <w:tcW w:type="dxa" w:w="1728"/>
          </w:tcPr>
          <w:p>
            <w:r>
              <w:t>005918 天弘沪深300ETF联接C</w:t>
            </w:r>
          </w:p>
        </w:tc>
        <w:tc>
          <w:tcPr>
            <w:tcW w:type="dxa" w:w="1728"/>
          </w:tcPr>
          <w:p>
            <w:r>
              <w:t>20.0%</w:t>
            </w:r>
          </w:p>
        </w:tc>
        <w:tc>
          <w:tcPr>
            <w:tcW w:type="dxa" w:w="1728"/>
          </w:tcPr>
          <w:p>
            <w:r>
              <w:t>中高风险</w:t>
            </w:r>
          </w:p>
        </w:tc>
        <w:tc>
          <w:tcPr>
            <w:tcW w:type="dxa" w:w="1728"/>
          </w:tcPr>
          <w:p>
            <w:r>
              <w:t>暂不优先</w:t>
            </w:r>
          </w:p>
        </w:tc>
      </w:tr>
      <w:tr>
        <w:tc>
          <w:tcPr>
            <w:tcW w:type="dxa" w:w="1728"/>
          </w:tcPr>
          <w:p>
            <w:r>
              <w:t>动态权重TopN等权</w:t>
            </w:r>
          </w:p>
        </w:tc>
        <w:tc>
          <w:tcPr>
            <w:tcW w:type="dxa" w:w="1728"/>
          </w:tcPr>
          <w:p>
            <w:r>
              <w:t>000071 华夏恒生ETF联接A</w:t>
            </w:r>
          </w:p>
        </w:tc>
        <w:tc>
          <w:tcPr>
            <w:tcW w:type="dxa" w:w="1728"/>
          </w:tcPr>
          <w:p>
            <w:r>
              <w:t>20.0%</w:t>
            </w:r>
          </w:p>
        </w:tc>
        <w:tc>
          <w:tcPr>
            <w:tcW w:type="dxa" w:w="1728"/>
          </w:tcPr>
          <w:p>
            <w:r>
              <w:t>中高风险</w:t>
            </w:r>
          </w:p>
        </w:tc>
        <w:tc>
          <w:tcPr>
            <w:tcW w:type="dxa" w:w="1728"/>
          </w:tcPr>
          <w:p>
            <w:r>
              <w:t>暂不优先</w:t>
            </w:r>
          </w:p>
        </w:tc>
      </w:tr>
      <w:tr>
        <w:tc>
          <w:tcPr>
            <w:tcW w:type="dxa" w:w="1728"/>
          </w:tcPr>
          <w:p>
            <w:r>
              <w:t>原始TopN等权</w:t>
            </w:r>
          </w:p>
        </w:tc>
        <w:tc>
          <w:tcPr>
            <w:tcW w:type="dxa" w:w="1728"/>
          </w:tcPr>
          <w:p>
            <w:r>
              <w:t>001052 华夏中证500ETF联接A</w:t>
            </w:r>
          </w:p>
        </w:tc>
        <w:tc>
          <w:tcPr>
            <w:tcW w:type="dxa" w:w="1728"/>
          </w:tcPr>
          <w:p>
            <w:r>
              <w:t>20.0%</w:t>
            </w:r>
          </w:p>
        </w:tc>
        <w:tc>
          <w:tcPr>
            <w:tcW w:type="dxa" w:w="1728"/>
          </w:tcPr>
          <w:p>
            <w:r>
              <w:t>中高风险</w:t>
            </w:r>
          </w:p>
        </w:tc>
        <w:tc>
          <w:tcPr>
            <w:tcW w:type="dxa" w:w="1728"/>
          </w:tcPr>
          <w:p>
            <w:r>
              <w:t>重点观察</w:t>
            </w:r>
          </w:p>
        </w:tc>
      </w:tr>
      <w:tr>
        <w:tc>
          <w:tcPr>
            <w:tcW w:type="dxa" w:w="1728"/>
          </w:tcPr>
          <w:p>
            <w:r>
              <w:t>原始TopN等权</w:t>
            </w:r>
          </w:p>
        </w:tc>
        <w:tc>
          <w:tcPr>
            <w:tcW w:type="dxa" w:w="1728"/>
          </w:tcPr>
          <w:p>
            <w:r>
              <w:t>110020 易方达沪深300ETF联接A</w:t>
            </w:r>
          </w:p>
        </w:tc>
        <w:tc>
          <w:tcPr>
            <w:tcW w:type="dxa" w:w="1728"/>
          </w:tcPr>
          <w:p>
            <w:r>
              <w:t>20.0%</w:t>
            </w:r>
          </w:p>
        </w:tc>
        <w:tc>
          <w:tcPr>
            <w:tcW w:type="dxa" w:w="1728"/>
          </w:tcPr>
          <w:p>
            <w:r>
              <w:t>中高风险</w:t>
            </w:r>
          </w:p>
        </w:tc>
        <w:tc>
          <w:tcPr>
            <w:tcW w:type="dxa" w:w="1728"/>
          </w:tcPr>
          <w:p>
            <w:r>
              <w:t>重点观察</w:t>
            </w:r>
          </w:p>
        </w:tc>
      </w:tr>
      <w:tr>
        <w:tc>
          <w:tcPr>
            <w:tcW w:type="dxa" w:w="1728"/>
          </w:tcPr>
          <w:p>
            <w:r>
              <w:t>原始TopN等权</w:t>
            </w:r>
          </w:p>
        </w:tc>
        <w:tc>
          <w:tcPr>
            <w:tcW w:type="dxa" w:w="1728"/>
          </w:tcPr>
          <w:p>
            <w:r>
              <w:t>000051 华夏沪深300ETF联接A</w:t>
            </w:r>
          </w:p>
        </w:tc>
        <w:tc>
          <w:tcPr>
            <w:tcW w:type="dxa" w:w="1728"/>
          </w:tcPr>
          <w:p>
            <w:r>
              <w:t>20.0%</w:t>
            </w:r>
          </w:p>
        </w:tc>
        <w:tc>
          <w:tcPr>
            <w:tcW w:type="dxa" w:w="1728"/>
          </w:tcPr>
          <w:p>
            <w:r>
              <w:t>中高风险</w:t>
            </w:r>
          </w:p>
        </w:tc>
        <w:tc>
          <w:tcPr>
            <w:tcW w:type="dxa" w:w="1728"/>
          </w:tcPr>
          <w:p>
            <w:r>
              <w:t>暂不优先</w:t>
            </w:r>
          </w:p>
        </w:tc>
      </w:tr>
      <w:tr>
        <w:tc>
          <w:tcPr>
            <w:tcW w:type="dxa" w:w="1728"/>
          </w:tcPr>
          <w:p>
            <w:r>
              <w:t>原始TopN等权</w:t>
            </w:r>
          </w:p>
        </w:tc>
        <w:tc>
          <w:tcPr>
            <w:tcW w:type="dxa" w:w="1728"/>
          </w:tcPr>
          <w:p>
            <w:r>
              <w:t>005918 天弘沪深300ETF联接C</w:t>
            </w:r>
          </w:p>
        </w:tc>
        <w:tc>
          <w:tcPr>
            <w:tcW w:type="dxa" w:w="1728"/>
          </w:tcPr>
          <w:p>
            <w:r>
              <w:t>20.0%</w:t>
            </w:r>
          </w:p>
        </w:tc>
        <w:tc>
          <w:tcPr>
            <w:tcW w:type="dxa" w:w="1728"/>
          </w:tcPr>
          <w:p>
            <w:r>
              <w:t>中高风险</w:t>
            </w:r>
          </w:p>
        </w:tc>
        <w:tc>
          <w:tcPr>
            <w:tcW w:type="dxa" w:w="1728"/>
          </w:tcPr>
          <w:p>
            <w:r>
              <w:t>暂不优先</w:t>
            </w:r>
          </w:p>
        </w:tc>
      </w:tr>
      <w:tr>
        <w:tc>
          <w:tcPr>
            <w:tcW w:type="dxa" w:w="1728"/>
          </w:tcPr>
          <w:p>
            <w:r>
              <w:t>原始TopN等权</w:t>
            </w:r>
          </w:p>
        </w:tc>
        <w:tc>
          <w:tcPr>
            <w:tcW w:type="dxa" w:w="1728"/>
          </w:tcPr>
          <w:p>
            <w:r>
              <w:t>000071 华夏恒生ETF联接A</w:t>
            </w:r>
          </w:p>
        </w:tc>
        <w:tc>
          <w:tcPr>
            <w:tcW w:type="dxa" w:w="1728"/>
          </w:tcPr>
          <w:p>
            <w:r>
              <w:t>20.0%</w:t>
            </w:r>
          </w:p>
        </w:tc>
        <w:tc>
          <w:tcPr>
            <w:tcW w:type="dxa" w:w="1728"/>
          </w:tcPr>
          <w:p>
            <w:r>
              <w:t>中高风险</w:t>
            </w:r>
          </w:p>
        </w:tc>
        <w:tc>
          <w:tcPr>
            <w:tcW w:type="dxa" w:w="1728"/>
          </w:tcPr>
          <w:p>
            <w:r>
              <w:t>暂不优先</w:t>
            </w:r>
          </w:p>
        </w:tc>
      </w:tr>
      <w:tr>
        <w:tc>
          <w:tcPr>
            <w:tcW w:type="dxa" w:w="1728"/>
          </w:tcPr>
          <w:p>
            <w:r>
              <w:t>回撤约束组合</w:t>
            </w:r>
          </w:p>
        </w:tc>
        <w:tc>
          <w:tcPr>
            <w:tcW w:type="dxa" w:w="1728"/>
          </w:tcPr>
          <w:p>
            <w:r>
              <w:t>001052 华夏中证500ETF联接A</w:t>
            </w:r>
          </w:p>
        </w:tc>
        <w:tc>
          <w:tcPr>
            <w:tcW w:type="dxa" w:w="1728"/>
          </w:tcPr>
          <w:p>
            <w:r>
              <w:t>20.0%</w:t>
            </w:r>
          </w:p>
        </w:tc>
        <w:tc>
          <w:tcPr>
            <w:tcW w:type="dxa" w:w="1728"/>
          </w:tcPr>
          <w:p>
            <w:r>
              <w:t>中高风险</w:t>
            </w:r>
          </w:p>
        </w:tc>
        <w:tc>
          <w:tcPr>
            <w:tcW w:type="dxa" w:w="1728"/>
          </w:tcPr>
          <w:p>
            <w:r>
              <w:t>重点观察</w:t>
            </w:r>
          </w:p>
        </w:tc>
      </w:tr>
      <w:tr>
        <w:tc>
          <w:tcPr>
            <w:tcW w:type="dxa" w:w="1728"/>
          </w:tcPr>
          <w:p>
            <w:r>
              <w:t>回撤约束组合</w:t>
            </w:r>
          </w:p>
        </w:tc>
        <w:tc>
          <w:tcPr>
            <w:tcW w:type="dxa" w:w="1728"/>
          </w:tcPr>
          <w:p>
            <w:r>
              <w:t>110020 易方达沪深300ETF联接A</w:t>
            </w:r>
          </w:p>
        </w:tc>
        <w:tc>
          <w:tcPr>
            <w:tcW w:type="dxa" w:w="1728"/>
          </w:tcPr>
          <w:p>
            <w:r>
              <w:t>20.0%</w:t>
            </w:r>
          </w:p>
        </w:tc>
        <w:tc>
          <w:tcPr>
            <w:tcW w:type="dxa" w:w="1728"/>
          </w:tcPr>
          <w:p>
            <w:r>
              <w:t>中高风险</w:t>
            </w:r>
          </w:p>
        </w:tc>
        <w:tc>
          <w:tcPr>
            <w:tcW w:type="dxa" w:w="1728"/>
          </w:tcPr>
          <w:p>
            <w:r>
              <w:t>重点观察</w:t>
            </w:r>
          </w:p>
        </w:tc>
      </w:tr>
      <w:tr>
        <w:tc>
          <w:tcPr>
            <w:tcW w:type="dxa" w:w="1728"/>
          </w:tcPr>
          <w:p>
            <w:r>
              <w:t>回撤约束组合</w:t>
            </w:r>
          </w:p>
        </w:tc>
        <w:tc>
          <w:tcPr>
            <w:tcW w:type="dxa" w:w="1728"/>
          </w:tcPr>
          <w:p>
            <w:r>
              <w:t>000051 华夏沪深300ETF联接A</w:t>
            </w:r>
          </w:p>
        </w:tc>
        <w:tc>
          <w:tcPr>
            <w:tcW w:type="dxa" w:w="1728"/>
          </w:tcPr>
          <w:p>
            <w:r>
              <w:t>20.0%</w:t>
            </w:r>
          </w:p>
        </w:tc>
        <w:tc>
          <w:tcPr>
            <w:tcW w:type="dxa" w:w="1728"/>
          </w:tcPr>
          <w:p>
            <w:r>
              <w:t>中高风险</w:t>
            </w:r>
          </w:p>
        </w:tc>
        <w:tc>
          <w:tcPr>
            <w:tcW w:type="dxa" w:w="1728"/>
          </w:tcPr>
          <w:p>
            <w:r>
              <w:t>暂不优先</w:t>
            </w:r>
          </w:p>
        </w:tc>
      </w:tr>
      <w:tr>
        <w:tc>
          <w:tcPr>
            <w:tcW w:type="dxa" w:w="1728"/>
          </w:tcPr>
          <w:p>
            <w:r>
              <w:t>回撤约束组合</w:t>
            </w:r>
          </w:p>
        </w:tc>
        <w:tc>
          <w:tcPr>
            <w:tcW w:type="dxa" w:w="1728"/>
          </w:tcPr>
          <w:p>
            <w:r>
              <w:t>005918 天弘沪深300ETF联接C</w:t>
            </w:r>
          </w:p>
        </w:tc>
        <w:tc>
          <w:tcPr>
            <w:tcW w:type="dxa" w:w="1728"/>
          </w:tcPr>
          <w:p>
            <w:r>
              <w:t>20.0%</w:t>
            </w:r>
          </w:p>
        </w:tc>
        <w:tc>
          <w:tcPr>
            <w:tcW w:type="dxa" w:w="1728"/>
          </w:tcPr>
          <w:p>
            <w:r>
              <w:t>中高风险</w:t>
            </w:r>
          </w:p>
        </w:tc>
        <w:tc>
          <w:tcPr>
            <w:tcW w:type="dxa" w:w="1728"/>
          </w:tcPr>
          <w:p>
            <w:r>
              <w:t>暂不优先</w:t>
            </w:r>
          </w:p>
        </w:tc>
      </w:tr>
      <w:tr>
        <w:tc>
          <w:tcPr>
            <w:tcW w:type="dxa" w:w="1728"/>
          </w:tcPr>
          <w:p>
            <w:r>
              <w:t>回撤约束组合</w:t>
            </w:r>
          </w:p>
        </w:tc>
        <w:tc>
          <w:tcPr>
            <w:tcW w:type="dxa" w:w="1728"/>
          </w:tcPr>
          <w:p>
            <w:r>
              <w:t>000071 华夏恒生ETF联接A</w:t>
            </w:r>
          </w:p>
        </w:tc>
        <w:tc>
          <w:tcPr>
            <w:tcW w:type="dxa" w:w="1728"/>
          </w:tcPr>
          <w:p>
            <w:r>
              <w:t>20.0%</w:t>
            </w:r>
          </w:p>
        </w:tc>
        <w:tc>
          <w:tcPr>
            <w:tcW w:type="dxa" w:w="1728"/>
          </w:tcPr>
          <w:p>
            <w:r>
              <w:t>中高风险</w:t>
            </w:r>
          </w:p>
        </w:tc>
        <w:tc>
          <w:tcPr>
            <w:tcW w:type="dxa" w:w="1728"/>
          </w:tcPr>
          <w:p>
            <w:r>
              <w:t>暂不优先</w:t>
            </w:r>
          </w:p>
        </w:tc>
      </w:tr>
      <w:tr>
        <w:tc>
          <w:tcPr>
            <w:tcW w:type="dxa" w:w="1728"/>
          </w:tcPr>
          <w:p>
            <w:r>
              <w:t>约束优化组合</w:t>
            </w:r>
          </w:p>
        </w:tc>
        <w:tc>
          <w:tcPr>
            <w:tcW w:type="dxa" w:w="1728"/>
          </w:tcPr>
          <w:p>
            <w:r>
              <w:t>001052 华夏中证500ETF联接A</w:t>
            </w:r>
          </w:p>
        </w:tc>
        <w:tc>
          <w:tcPr>
            <w:tcW w:type="dxa" w:w="1728"/>
          </w:tcPr>
          <w:p>
            <w:r>
              <w:t>35.0%</w:t>
            </w:r>
          </w:p>
        </w:tc>
        <w:tc>
          <w:tcPr>
            <w:tcW w:type="dxa" w:w="1728"/>
          </w:tcPr>
          <w:p>
            <w:r/>
          </w:p>
        </w:tc>
        <w:tc>
          <w:tcPr>
            <w:tcW w:type="dxa" w:w="1728"/>
          </w:tcPr>
          <w:p>
            <w:r/>
          </w:p>
        </w:tc>
      </w:tr>
      <w:tr>
        <w:tc>
          <w:tcPr>
            <w:tcW w:type="dxa" w:w="1728"/>
          </w:tcPr>
          <w:p>
            <w:r>
              <w:t>约束优化组合</w:t>
            </w:r>
          </w:p>
        </w:tc>
        <w:tc>
          <w:tcPr>
            <w:tcW w:type="dxa" w:w="1728"/>
          </w:tcPr>
          <w:p>
            <w:r>
              <w:t>110020 易方达沪深300ETF联接A</w:t>
            </w:r>
          </w:p>
        </w:tc>
        <w:tc>
          <w:tcPr>
            <w:tcW w:type="dxa" w:w="1728"/>
          </w:tcPr>
          <w:p>
            <w:r>
              <w:t>35.0%</w:t>
            </w:r>
          </w:p>
        </w:tc>
        <w:tc>
          <w:tcPr>
            <w:tcW w:type="dxa" w:w="1728"/>
          </w:tcPr>
          <w:p>
            <w:r/>
          </w:p>
        </w:tc>
        <w:tc>
          <w:tcPr>
            <w:tcW w:type="dxa" w:w="1728"/>
          </w:tcPr>
          <w:p>
            <w:r/>
          </w:p>
        </w:tc>
      </w:tr>
      <w:tr>
        <w:tc>
          <w:tcPr>
            <w:tcW w:type="dxa" w:w="1728"/>
          </w:tcPr>
          <w:p>
            <w:r>
              <w:t>约束优化组合</w:t>
            </w:r>
          </w:p>
        </w:tc>
        <w:tc>
          <w:tcPr>
            <w:tcW w:type="dxa" w:w="1728"/>
          </w:tcPr>
          <w:p>
            <w:r>
              <w:t>000071 华夏恒生ETF联接A</w:t>
            </w:r>
          </w:p>
        </w:tc>
        <w:tc>
          <w:tcPr>
            <w:tcW w:type="dxa" w:w="1728"/>
          </w:tcPr>
          <w:p>
            <w:r>
              <w:t>30.0%</w:t>
            </w:r>
          </w:p>
        </w:tc>
        <w:tc>
          <w:tcPr>
            <w:tcW w:type="dxa" w:w="1728"/>
          </w:tcPr>
          <w:p>
            <w:r/>
          </w:p>
        </w:tc>
        <w:tc>
          <w:tcPr>
            <w:tcW w:type="dxa" w:w="1728"/>
          </w:tcPr>
          <w:p>
            <w:r/>
          </w:p>
        </w:tc>
      </w:tr>
      <w:tr>
        <w:tc>
          <w:tcPr>
            <w:tcW w:type="dxa" w:w="1728"/>
          </w:tcPr>
          <w:p>
            <w:r>
              <w:t>风险平价组合</w:t>
            </w:r>
          </w:p>
        </w:tc>
        <w:tc>
          <w:tcPr>
            <w:tcW w:type="dxa" w:w="1728"/>
          </w:tcPr>
          <w:p>
            <w:r>
              <w:t>110020 易方达沪深300ETF联接A</w:t>
            </w:r>
          </w:p>
        </w:tc>
        <w:tc>
          <w:tcPr>
            <w:tcW w:type="dxa" w:w="1728"/>
          </w:tcPr>
          <w:p>
            <w:r>
              <w:t>21.8%</w:t>
            </w:r>
          </w:p>
        </w:tc>
        <w:tc>
          <w:tcPr>
            <w:tcW w:type="dxa" w:w="1728"/>
          </w:tcPr>
          <w:p>
            <w:r>
              <w:t>中高风险</w:t>
            </w:r>
          </w:p>
        </w:tc>
        <w:tc>
          <w:tcPr>
            <w:tcW w:type="dxa" w:w="1728"/>
          </w:tcPr>
          <w:p>
            <w:r>
              <w:t>重点观察</w:t>
            </w:r>
          </w:p>
        </w:tc>
      </w:tr>
      <w:tr>
        <w:tc>
          <w:tcPr>
            <w:tcW w:type="dxa" w:w="1728"/>
          </w:tcPr>
          <w:p>
            <w:r>
              <w:t>风险平价组合</w:t>
            </w:r>
          </w:p>
        </w:tc>
        <w:tc>
          <w:tcPr>
            <w:tcW w:type="dxa" w:w="1728"/>
          </w:tcPr>
          <w:p>
            <w:r>
              <w:t>005918 天弘沪深300ETF联接C</w:t>
            </w:r>
          </w:p>
        </w:tc>
        <w:tc>
          <w:tcPr>
            <w:tcW w:type="dxa" w:w="1728"/>
          </w:tcPr>
          <w:p>
            <w:r>
              <w:t>21.7%</w:t>
            </w:r>
          </w:p>
        </w:tc>
        <w:tc>
          <w:tcPr>
            <w:tcW w:type="dxa" w:w="1728"/>
          </w:tcPr>
          <w:p>
            <w:r>
              <w:t>中高风险</w:t>
            </w:r>
          </w:p>
        </w:tc>
        <w:tc>
          <w:tcPr>
            <w:tcW w:type="dxa" w:w="1728"/>
          </w:tcPr>
          <w:p>
            <w:r>
              <w:t>暂不优先</w:t>
            </w:r>
          </w:p>
        </w:tc>
      </w:tr>
      <w:tr>
        <w:tc>
          <w:tcPr>
            <w:tcW w:type="dxa" w:w="1728"/>
          </w:tcPr>
          <w:p>
            <w:r>
              <w:t>风险平价组合</w:t>
            </w:r>
          </w:p>
        </w:tc>
        <w:tc>
          <w:tcPr>
            <w:tcW w:type="dxa" w:w="1728"/>
          </w:tcPr>
          <w:p>
            <w:r>
              <w:t>000051 华夏沪深300ETF联接A</w:t>
            </w:r>
          </w:p>
        </w:tc>
        <w:tc>
          <w:tcPr>
            <w:tcW w:type="dxa" w:w="1728"/>
          </w:tcPr>
          <w:p>
            <w:r>
              <w:t>21.5%</w:t>
            </w:r>
          </w:p>
        </w:tc>
        <w:tc>
          <w:tcPr>
            <w:tcW w:type="dxa" w:w="1728"/>
          </w:tcPr>
          <w:p>
            <w:r>
              <w:t>中高风险</w:t>
            </w:r>
          </w:p>
        </w:tc>
        <w:tc>
          <w:tcPr>
            <w:tcW w:type="dxa" w:w="1728"/>
          </w:tcPr>
          <w:p>
            <w:r>
              <w:t>暂不优先</w:t>
            </w:r>
          </w:p>
        </w:tc>
      </w:tr>
      <w:tr>
        <w:tc>
          <w:tcPr>
            <w:tcW w:type="dxa" w:w="1728"/>
          </w:tcPr>
          <w:p>
            <w:r>
              <w:t>风险平价组合</w:t>
            </w:r>
          </w:p>
        </w:tc>
        <w:tc>
          <w:tcPr>
            <w:tcW w:type="dxa" w:w="1728"/>
          </w:tcPr>
          <w:p>
            <w:r>
              <w:t>001052 华夏中证500ETF联接A</w:t>
            </w:r>
          </w:p>
        </w:tc>
        <w:tc>
          <w:tcPr>
            <w:tcW w:type="dxa" w:w="1728"/>
          </w:tcPr>
          <w:p>
            <w:r>
              <w:t>18.5%</w:t>
            </w:r>
          </w:p>
        </w:tc>
        <w:tc>
          <w:tcPr>
            <w:tcW w:type="dxa" w:w="1728"/>
          </w:tcPr>
          <w:p>
            <w:r>
              <w:t>中高风险</w:t>
            </w:r>
          </w:p>
        </w:tc>
        <w:tc>
          <w:tcPr>
            <w:tcW w:type="dxa" w:w="1728"/>
          </w:tcPr>
          <w:p>
            <w:r>
              <w:t>重点观察</w:t>
            </w:r>
          </w:p>
        </w:tc>
      </w:tr>
      <w:tr>
        <w:tc>
          <w:tcPr>
            <w:tcW w:type="dxa" w:w="1728"/>
          </w:tcPr>
          <w:p>
            <w:r>
              <w:t>风险平价组合</w:t>
            </w:r>
          </w:p>
        </w:tc>
        <w:tc>
          <w:tcPr>
            <w:tcW w:type="dxa" w:w="1728"/>
          </w:tcPr>
          <w:p>
            <w:r>
              <w:t>000071 华夏恒生ETF联接A</w:t>
            </w:r>
          </w:p>
        </w:tc>
        <w:tc>
          <w:tcPr>
            <w:tcW w:type="dxa" w:w="1728"/>
          </w:tcPr>
          <w:p>
            <w:r>
              <w:t>16.4%</w:t>
            </w:r>
          </w:p>
        </w:tc>
        <w:tc>
          <w:tcPr>
            <w:tcW w:type="dxa" w:w="1728"/>
          </w:tcPr>
          <w:p>
            <w:r>
              <w:t>中高风险</w:t>
            </w:r>
          </w:p>
        </w:tc>
        <w:tc>
          <w:tcPr>
            <w:tcW w:type="dxa" w:w="1728"/>
          </w:tcPr>
          <w:p>
            <w:r>
              <w:t>暂不优先</w:t>
            </w:r>
          </w:p>
        </w:tc>
      </w:tr>
    </w:tbl>
    <w:p>
      <w:pPr>
        <w:pStyle w:val="Heading2"/>
      </w:pPr>
      <w:r>
        <w:t>使用边界</w:t>
      </w:r>
    </w:p>
    <w:p>
      <w:r>
        <w:t>组合构建结果仅用于历史研究和观察池管理，不构成个性化资产配置建议。真实投资还需要考虑申赎费率、持有期、税务、流动性、个人风险承受能力和合规要求。</w:t>
      </w:r>
    </w:p>
    <w:p>
      <w:r>
        <w:br w:type="page"/>
      </w:r>
    </w:p>
    <w:p>
      <w:pPr>
        <w:pStyle w:val="Heading1"/>
      </w:pPr>
      <w:r>
        <w:t>组合建议说明书</w:t>
      </w:r>
    </w:p>
    <w:p>
      <w:pPr>
        <w:pStyle w:val="Heading1"/>
      </w:pPr>
      <w:r>
        <w:t>组合建议说明书</w:t>
      </w:r>
    </w:p>
    <w:p>
      <w:pPr>
        <w:pStyle w:val="Heading2"/>
      </w:pPr>
      <w:r>
        <w:t>定位</w:t>
      </w:r>
    </w:p>
    <w:p>
      <w:r>
        <w:t>本报告解释约束优化组合为什么选择这些基金、为什么给出当前权重，以及组合在同类集中度和基金间相关性上的控制情况。</w:t>
      </w:r>
    </w:p>
    <w:p>
      <w:pPr>
        <w:pStyle w:val="Heading2"/>
      </w:pPr>
      <w:r>
        <w:t>当前约束</w:t>
      </w:r>
    </w:p>
    <w:p>
      <w:pPr>
        <w:pStyle w:val="ListBullet"/>
      </w:pPr>
      <w:r>
        <w:t>组合目标：进取组合</w:t>
      </w:r>
    </w:p>
    <w:p>
      <w:pPr>
        <w:pStyle w:val="ListBullet"/>
      </w:pPr>
      <w:r>
        <w:t>持仓数量：3 - 8 只</w:t>
      </w:r>
    </w:p>
    <w:p>
      <w:pPr>
        <w:pStyle w:val="ListBullet"/>
      </w:pPr>
      <w:r>
        <w:t>单只基金最大权重：35.0%</w:t>
      </w:r>
    </w:p>
    <w:p>
      <w:pPr>
        <w:pStyle w:val="ListBullet"/>
      </w:pPr>
      <w:r>
        <w:t>同类型基金最大占比：65.0%</w:t>
      </w:r>
    </w:p>
    <w:p>
      <w:pPr>
        <w:pStyle w:val="ListBullet"/>
      </w:pPr>
      <w:r>
        <w:t>基金间最高相关阈值：0.90</w:t>
      </w:r>
    </w:p>
    <w:p>
      <w:pPr>
        <w:pStyle w:val="ListBullet"/>
      </w:pPr>
      <w:r>
        <w:t>基金最大回撤下限：-45.0%</w:t>
      </w:r>
    </w:p>
    <w:p>
      <w:pPr>
        <w:pStyle w:val="ListBullet"/>
      </w:pPr>
      <w:r>
        <w:t>最低 Sharpe：0.00</w:t>
      </w:r>
    </w:p>
    <w:p>
      <w:pPr>
        <w:pStyle w:val="Heading2"/>
      </w:pPr>
      <w:r>
        <w:t>持仓建议解释</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基金</w:t>
            </w:r>
          </w:p>
        </w:tc>
        <w:tc>
          <w:tcPr>
            <w:tcW w:type="dxa" w:w="1440"/>
          </w:tcPr>
          <w:p>
            <w:r>
              <w:rPr>
                <w:b/>
              </w:rPr>
              <w:t>权重</w:t>
            </w:r>
          </w:p>
        </w:tc>
        <w:tc>
          <w:tcPr>
            <w:tcW w:type="dxa" w:w="1440"/>
          </w:tcPr>
          <w:p>
            <w:r>
              <w:rPr>
                <w:b/>
              </w:rPr>
              <w:t>入选原因</w:t>
            </w:r>
          </w:p>
        </w:tc>
        <w:tc>
          <w:tcPr>
            <w:tcW w:type="dxa" w:w="1440"/>
          </w:tcPr>
          <w:p>
            <w:r>
              <w:rPr>
                <w:b/>
              </w:rPr>
              <w:t>权重说明</w:t>
            </w:r>
          </w:p>
        </w:tc>
        <w:tc>
          <w:tcPr>
            <w:tcW w:type="dxa" w:w="1440"/>
          </w:tcPr>
          <w:p>
            <w:r>
              <w:rPr>
                <w:b/>
              </w:rPr>
              <w:t>风险提示</w:t>
            </w:r>
          </w:p>
        </w:tc>
        <w:tc>
          <w:tcPr>
            <w:tcW w:type="dxa" w:w="1440"/>
          </w:tcPr>
          <w:p>
            <w:r>
              <w:rPr>
                <w:b/>
              </w:rPr>
              <w:t>分散化说明</w:t>
            </w:r>
          </w:p>
        </w:tc>
      </w:tr>
      <w:tr>
        <w:tc>
          <w:tcPr>
            <w:tcW w:type="dxa" w:w="1440"/>
          </w:tcPr>
          <w:p>
            <w:r>
              <w:t>001052 华夏中证500ETF联接A</w:t>
            </w:r>
          </w:p>
        </w:tc>
        <w:tc>
          <w:tcPr>
            <w:tcW w:type="dxa" w:w="1440"/>
          </w:tcPr>
          <w:p>
            <w:r>
              <w:t>35.0%</w:t>
            </w:r>
          </w:p>
        </w:tc>
        <w:tc>
          <w:tcPr>
            <w:tcW w:type="dxa" w:w="1440"/>
          </w:tcPr>
          <w:p>
            <w:r>
              <w:t>符合进取组合目标；综合/动态评分为 89.81；Sharpe 达到约束；回撤低于限制</w:t>
            </w:r>
          </w:p>
        </w:tc>
        <w:tc>
          <w:tcPr>
            <w:tcW w:type="dxa" w:w="1440"/>
          </w:tcPr>
          <w:p>
            <w:r>
              <w:t>权重接近单只基金上限，已受集中度约束控制</w:t>
            </w:r>
          </w:p>
        </w:tc>
        <w:tc>
          <w:tcPr>
            <w:tcW w:type="dxa" w:w="1440"/>
          </w:tcPr>
          <w:p>
            <w:r>
              <w:t>最大回撤 -38.2%；年化波动 20.1%</w:t>
            </w:r>
          </w:p>
        </w:tc>
        <w:tc>
          <w:tcPr>
            <w:tcW w:type="dxa" w:w="1440"/>
          </w:tcPr>
          <w:p>
            <w:r>
              <w:t>未分类 合计占比 35.0%；同类型占比受控；最高持仓相关 0.84</w:t>
            </w:r>
          </w:p>
        </w:tc>
      </w:tr>
      <w:tr>
        <w:tc>
          <w:tcPr>
            <w:tcW w:type="dxa" w:w="1440"/>
          </w:tcPr>
          <w:p>
            <w:r>
              <w:t>110020 易方达沪深300ETF联接A</w:t>
            </w:r>
          </w:p>
        </w:tc>
        <w:tc>
          <w:tcPr>
            <w:tcW w:type="dxa" w:w="1440"/>
          </w:tcPr>
          <w:p>
            <w:r>
              <w:t>35.0%</w:t>
            </w:r>
          </w:p>
        </w:tc>
        <w:tc>
          <w:tcPr>
            <w:tcW w:type="dxa" w:w="1440"/>
          </w:tcPr>
          <w:p>
            <w:r>
              <w:t>符合进取组合目标；综合/动态评分为 83.73；回撤低于限制</w:t>
            </w:r>
          </w:p>
        </w:tc>
        <w:tc>
          <w:tcPr>
            <w:tcW w:type="dxa" w:w="1440"/>
          </w:tcPr>
          <w:p>
            <w:r>
              <w:t>权重接近单只基金上限，已受集中度约束控制</w:t>
            </w:r>
          </w:p>
        </w:tc>
        <w:tc>
          <w:tcPr>
            <w:tcW w:type="dxa" w:w="1440"/>
          </w:tcPr>
          <w:p>
            <w:r>
              <w:t>最大回撤 -39.4%；年化波动 17.0%</w:t>
            </w:r>
          </w:p>
        </w:tc>
        <w:tc>
          <w:tcPr>
            <w:tcW w:type="dxa" w:w="1440"/>
          </w:tcPr>
          <w:p>
            <w:r>
              <w:t>指数型 合计占比 65.0%；同类型占比受控；最高持仓相关 0.84</w:t>
            </w:r>
          </w:p>
        </w:tc>
      </w:tr>
      <w:tr>
        <w:tc>
          <w:tcPr>
            <w:tcW w:type="dxa" w:w="1440"/>
          </w:tcPr>
          <w:p>
            <w:r>
              <w:t>000071 华夏恒生ETF联接A</w:t>
            </w:r>
          </w:p>
        </w:tc>
        <w:tc>
          <w:tcPr>
            <w:tcW w:type="dxa" w:w="1440"/>
          </w:tcPr>
          <w:p>
            <w:r>
              <w:t>30.0%</w:t>
            </w:r>
          </w:p>
        </w:tc>
        <w:tc>
          <w:tcPr>
            <w:tcW w:type="dxa" w:w="1440"/>
          </w:tcPr>
          <w:p>
            <w:r>
              <w:t>符合进取组合目标；综合/动态评分为 20.00</w:t>
            </w:r>
          </w:p>
        </w:tc>
        <w:tc>
          <w:tcPr>
            <w:tcW w:type="dxa" w:w="1440"/>
          </w:tcPr>
          <w:p>
            <w:r>
              <w:t>权重低于等权水平，用于分散风险和控制集中度</w:t>
            </w:r>
          </w:p>
        </w:tc>
        <w:tc>
          <w:tcPr>
            <w:tcW w:type="dxa" w:w="1440"/>
          </w:tcPr>
          <w:p>
            <w:r>
              <w:t>最大回撤 -45.2%；低于回撤约束，因候选不足被保留；年化波动 22.6%</w:t>
            </w:r>
          </w:p>
        </w:tc>
        <w:tc>
          <w:tcPr>
            <w:tcW w:type="dxa" w:w="1440"/>
          </w:tcPr>
          <w:p>
            <w:r>
              <w:t>指数型 合计占比 65.0%；同类型占比受控；最高持仓相关 0.64</w:t>
            </w:r>
          </w:p>
        </w:tc>
      </w:tr>
    </w:tbl>
    <w:p>
      <w:pPr>
        <w:pStyle w:val="Heading2"/>
      </w:pPr>
      <w:r>
        <w:t>集中度与相关性控制</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控制项</w:t>
            </w:r>
          </w:p>
        </w:tc>
        <w:tc>
          <w:tcPr>
            <w:tcW w:type="dxa" w:w="1440"/>
          </w:tcPr>
          <w:p>
            <w:r>
              <w:rPr>
                <w:b/>
              </w:rPr>
              <w:t>对象</w:t>
            </w:r>
          </w:p>
        </w:tc>
        <w:tc>
          <w:tcPr>
            <w:tcW w:type="dxa" w:w="1440"/>
          </w:tcPr>
          <w:p>
            <w:r>
              <w:rPr>
                <w:b/>
              </w:rPr>
              <w:t>当前值</w:t>
            </w:r>
          </w:p>
        </w:tc>
        <w:tc>
          <w:tcPr>
            <w:tcW w:type="dxa" w:w="1440"/>
          </w:tcPr>
          <w:p>
            <w:r>
              <w:rPr>
                <w:b/>
              </w:rPr>
              <w:t>阈值</w:t>
            </w:r>
          </w:p>
        </w:tc>
        <w:tc>
          <w:tcPr>
            <w:tcW w:type="dxa" w:w="1440"/>
          </w:tcPr>
          <w:p>
            <w:r>
              <w:rPr>
                <w:b/>
              </w:rPr>
              <w:t>状态</w:t>
            </w:r>
          </w:p>
        </w:tc>
        <w:tc>
          <w:tcPr>
            <w:tcW w:type="dxa" w:w="1440"/>
          </w:tcPr>
          <w:p>
            <w:r>
              <w:rPr>
                <w:b/>
              </w:rPr>
              <w:t>说明</w:t>
            </w:r>
          </w:p>
        </w:tc>
      </w:tr>
      <w:tr>
        <w:tc>
          <w:tcPr>
            <w:tcW w:type="dxa" w:w="1440"/>
          </w:tcPr>
          <w:p>
            <w:r>
              <w:t>type_exposure</w:t>
            </w:r>
          </w:p>
        </w:tc>
        <w:tc>
          <w:tcPr>
            <w:tcW w:type="dxa" w:w="1440"/>
          </w:tcPr>
          <w:p>
            <w:r>
              <w:t>指数型</w:t>
            </w:r>
          </w:p>
        </w:tc>
        <w:tc>
          <w:tcPr>
            <w:tcW w:type="dxa" w:w="1440"/>
          </w:tcPr>
          <w:p>
            <w:r>
              <w:t>65.0%</w:t>
            </w:r>
          </w:p>
        </w:tc>
        <w:tc>
          <w:tcPr>
            <w:tcW w:type="dxa" w:w="1440"/>
          </w:tcPr>
          <w:p>
            <w:r>
              <w:t>65.0%</w:t>
            </w:r>
          </w:p>
        </w:tc>
        <w:tc>
          <w:tcPr>
            <w:tcW w:type="dxa" w:w="1440"/>
          </w:tcPr>
          <w:p>
            <w:r>
              <w:t>pass</w:t>
            </w:r>
          </w:p>
        </w:tc>
        <w:tc>
          <w:tcPr>
            <w:tcW w:type="dxa" w:w="1440"/>
          </w:tcPr>
          <w:p>
            <w:r>
              <w:t>指数型 占比 65.0%</w:t>
            </w:r>
          </w:p>
        </w:tc>
      </w:tr>
      <w:tr>
        <w:tc>
          <w:tcPr>
            <w:tcW w:type="dxa" w:w="1440"/>
          </w:tcPr>
          <w:p>
            <w:r>
              <w:t>type_exposure</w:t>
            </w:r>
          </w:p>
        </w:tc>
        <w:tc>
          <w:tcPr>
            <w:tcW w:type="dxa" w:w="1440"/>
          </w:tcPr>
          <w:p>
            <w:r>
              <w:t>未分类</w:t>
            </w:r>
          </w:p>
        </w:tc>
        <w:tc>
          <w:tcPr>
            <w:tcW w:type="dxa" w:w="1440"/>
          </w:tcPr>
          <w:p>
            <w:r>
              <w:t>35.0%</w:t>
            </w:r>
          </w:p>
        </w:tc>
        <w:tc>
          <w:tcPr>
            <w:tcW w:type="dxa" w:w="1440"/>
          </w:tcPr>
          <w:p>
            <w:r>
              <w:t>65.0%</w:t>
            </w:r>
          </w:p>
        </w:tc>
        <w:tc>
          <w:tcPr>
            <w:tcW w:type="dxa" w:w="1440"/>
          </w:tcPr>
          <w:p>
            <w:r>
              <w:t>pass</w:t>
            </w:r>
          </w:p>
        </w:tc>
        <w:tc>
          <w:tcPr>
            <w:tcW w:type="dxa" w:w="1440"/>
          </w:tcPr>
          <w:p>
            <w:r>
              <w:t>未分类 占比 35.0%</w:t>
            </w:r>
          </w:p>
        </w:tc>
      </w:tr>
      <w:tr>
        <w:tc>
          <w:tcPr>
            <w:tcW w:type="dxa" w:w="1440"/>
          </w:tcPr>
          <w:p>
            <w:r>
              <w:t>position_cap</w:t>
            </w:r>
          </w:p>
        </w:tc>
        <w:tc>
          <w:tcPr>
            <w:tcW w:type="dxa" w:w="1440"/>
          </w:tcPr>
          <w:p>
            <w:r>
              <w:t>single_fund_max</w:t>
            </w:r>
          </w:p>
        </w:tc>
        <w:tc>
          <w:tcPr>
            <w:tcW w:type="dxa" w:w="1440"/>
          </w:tcPr>
          <w:p>
            <w:r>
              <w:t>35.0%</w:t>
            </w:r>
          </w:p>
        </w:tc>
        <w:tc>
          <w:tcPr>
            <w:tcW w:type="dxa" w:w="1440"/>
          </w:tcPr>
          <w:p>
            <w:r>
              <w:t>35.0%</w:t>
            </w:r>
          </w:p>
        </w:tc>
        <w:tc>
          <w:tcPr>
            <w:tcW w:type="dxa" w:w="1440"/>
          </w:tcPr>
          <w:p>
            <w:r>
              <w:t>pass</w:t>
            </w:r>
          </w:p>
        </w:tc>
        <w:tc>
          <w:tcPr>
            <w:tcW w:type="dxa" w:w="1440"/>
          </w:tcPr>
          <w:p>
            <w:r>
              <w:t>最大单只权重 35.0%</w:t>
            </w:r>
          </w:p>
        </w:tc>
      </w:tr>
      <w:tr>
        <w:tc>
          <w:tcPr>
            <w:tcW w:type="dxa" w:w="1440"/>
          </w:tcPr>
          <w:p>
            <w:r>
              <w:t>correlation</w:t>
            </w:r>
          </w:p>
        </w:tc>
        <w:tc>
          <w:tcPr>
            <w:tcW w:type="dxa" w:w="1440"/>
          </w:tcPr>
          <w:p>
            <w:r>
              <w:t>001052/110020</w:t>
            </w:r>
          </w:p>
        </w:tc>
        <w:tc>
          <w:tcPr>
            <w:tcW w:type="dxa" w:w="1440"/>
          </w:tcPr>
          <w:p>
            <w:r>
              <w:t>84.3%</w:t>
            </w:r>
          </w:p>
        </w:tc>
        <w:tc>
          <w:tcPr>
            <w:tcW w:type="dxa" w:w="1440"/>
          </w:tcPr>
          <w:p>
            <w:r>
              <w:t>90.0%</w:t>
            </w:r>
          </w:p>
        </w:tc>
        <w:tc>
          <w:tcPr>
            <w:tcW w:type="dxa" w:w="1440"/>
          </w:tcPr>
          <w:p>
            <w:r>
              <w:t>pass</w:t>
            </w:r>
          </w:p>
        </w:tc>
        <w:tc>
          <w:tcPr>
            <w:tcW w:type="dxa" w:w="1440"/>
          </w:tcPr>
          <w:p>
            <w:r>
              <w:t>当前组合最高基金间相关性</w:t>
            </w:r>
          </w:p>
        </w:tc>
      </w:tr>
    </w:tbl>
    <w:p>
      <w:pPr>
        <w:pStyle w:val="Heading2"/>
      </w:pPr>
      <w:r>
        <w:t>使用边界</w:t>
      </w:r>
    </w:p>
    <w:p>
      <w:r>
        <w:t>建议说明书用于解释历史数据下的组合构建逻辑，不构成个性化投资建议。相关性和集中度会随市场环境变化，需要定期复核。</w:t>
      </w:r>
    </w:p>
    <w:p>
      <w:r>
        <w:br w:type="page"/>
      </w:r>
    </w:p>
    <w:p>
      <w:pPr>
        <w:pStyle w:val="Heading1"/>
      </w:pPr>
      <w:r>
        <w:t>组合再平衡回测</w:t>
      </w:r>
    </w:p>
    <w:p>
      <w:pPr>
        <w:pStyle w:val="Heading1"/>
      </w:pPr>
      <w:r>
        <w:t>组合再平衡回测</w:t>
      </w:r>
    </w:p>
    <w:p>
      <w:pPr>
        <w:pStyle w:val="Heading2"/>
      </w:pPr>
      <w:r>
        <w:t>定位</w:t>
      </w:r>
    </w:p>
    <w:p>
      <w:r>
        <w:t>本报告把基金排名转化为可重复执行的组合回测：每个滚动窗口用历史数据重新排名，构建组合并持有到下一个窗口，记录收益、回撤和换手率。</w:t>
      </w:r>
    </w:p>
    <w:p>
      <w:pPr>
        <w:pStyle w:val="Heading2"/>
      </w:pPr>
      <w:r>
        <w:t>结果汇总</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组合</w:t>
            </w:r>
          </w:p>
        </w:tc>
        <w:tc>
          <w:tcPr>
            <w:tcW w:type="dxa" w:w="1234"/>
          </w:tcPr>
          <w:p>
            <w:r>
              <w:rPr>
                <w:b/>
              </w:rPr>
              <w:t>年化收益</w:t>
            </w:r>
          </w:p>
        </w:tc>
        <w:tc>
          <w:tcPr>
            <w:tcW w:type="dxa" w:w="1234"/>
          </w:tcPr>
          <w:p>
            <w:r>
              <w:rPr>
                <w:b/>
              </w:rPr>
              <w:t>Sharpe</w:t>
            </w:r>
          </w:p>
        </w:tc>
        <w:tc>
          <w:tcPr>
            <w:tcW w:type="dxa" w:w="1234"/>
          </w:tcPr>
          <w:p>
            <w:r>
              <w:rPr>
                <w:b/>
              </w:rPr>
              <w:t>年化波动</w:t>
            </w:r>
          </w:p>
        </w:tc>
        <w:tc>
          <w:tcPr>
            <w:tcW w:type="dxa" w:w="1234"/>
          </w:tcPr>
          <w:p>
            <w:r>
              <w:rPr>
                <w:b/>
              </w:rPr>
              <w:t>最大回撤</w:t>
            </w:r>
          </w:p>
        </w:tc>
        <w:tc>
          <w:tcPr>
            <w:tcW w:type="dxa" w:w="1234"/>
          </w:tcPr>
          <w:p>
            <w:r>
              <w:rPr>
                <w:b/>
              </w:rPr>
              <w:t>胜率</w:t>
            </w:r>
          </w:p>
        </w:tc>
        <w:tc>
          <w:tcPr>
            <w:tcW w:type="dxa" w:w="1234"/>
          </w:tcPr>
          <w:p>
            <w:r>
              <w:rPr>
                <w:b/>
              </w:rPr>
              <w:t>平均换手率</w:t>
            </w:r>
          </w:p>
        </w:tc>
      </w:tr>
      <w:tr>
        <w:tc>
          <w:tcPr>
            <w:tcW w:type="dxa" w:w="1234"/>
          </w:tcPr>
          <w:p>
            <w:r>
              <w:t>Fixed Rebalance</w:t>
            </w:r>
          </w:p>
        </w:tc>
        <w:tc>
          <w:tcPr>
            <w:tcW w:type="dxa" w:w="1234"/>
          </w:tcPr>
          <w:p>
            <w:r>
              <w:t>5.08%</w:t>
            </w:r>
          </w:p>
        </w:tc>
        <w:tc>
          <w:tcPr>
            <w:tcW w:type="dxa" w:w="1234"/>
          </w:tcPr>
          <w:p>
            <w:r>
              <w:t>0.30</w:t>
            </w:r>
          </w:p>
        </w:tc>
        <w:tc>
          <w:tcPr>
            <w:tcW w:type="dxa" w:w="1234"/>
          </w:tcPr>
          <w:p>
            <w:r>
              <w:t>17.20%</w:t>
            </w:r>
          </w:p>
        </w:tc>
        <w:tc>
          <w:tcPr>
            <w:tcW w:type="dxa" w:w="1234"/>
          </w:tcPr>
          <w:p>
            <w:r>
              <w:t>-26.97%</w:t>
            </w:r>
          </w:p>
        </w:tc>
        <w:tc>
          <w:tcPr>
            <w:tcW w:type="dxa" w:w="1234"/>
          </w:tcPr>
          <w:p>
            <w:r>
              <w:t>48.4%</w:t>
            </w:r>
          </w:p>
        </w:tc>
        <w:tc>
          <w:tcPr>
            <w:tcW w:type="dxa" w:w="1234"/>
          </w:tcPr>
          <w:p>
            <w:r>
              <w:t>0.0%</w:t>
            </w:r>
          </w:p>
        </w:tc>
      </w:tr>
      <w:tr>
        <w:tc>
          <w:tcPr>
            <w:tcW w:type="dxa" w:w="1234"/>
          </w:tcPr>
          <w:p>
            <w:r>
              <w:t>Adaptive Rebalance</w:t>
            </w:r>
          </w:p>
        </w:tc>
        <w:tc>
          <w:tcPr>
            <w:tcW w:type="dxa" w:w="1234"/>
          </w:tcPr>
          <w:p>
            <w:r>
              <w:t>5.08%</w:t>
            </w:r>
          </w:p>
        </w:tc>
        <w:tc>
          <w:tcPr>
            <w:tcW w:type="dxa" w:w="1234"/>
          </w:tcPr>
          <w:p>
            <w:r>
              <w:t>0.30</w:t>
            </w:r>
          </w:p>
        </w:tc>
        <w:tc>
          <w:tcPr>
            <w:tcW w:type="dxa" w:w="1234"/>
          </w:tcPr>
          <w:p>
            <w:r>
              <w:t>17.20%</w:t>
            </w:r>
          </w:p>
        </w:tc>
        <w:tc>
          <w:tcPr>
            <w:tcW w:type="dxa" w:w="1234"/>
          </w:tcPr>
          <w:p>
            <w:r>
              <w:t>-26.97%</w:t>
            </w:r>
          </w:p>
        </w:tc>
        <w:tc>
          <w:tcPr>
            <w:tcW w:type="dxa" w:w="1234"/>
          </w:tcPr>
          <w:p>
            <w:r>
              <w:t>48.4%</w:t>
            </w:r>
          </w:p>
        </w:tc>
        <w:tc>
          <w:tcPr>
            <w:tcW w:type="dxa" w:w="1234"/>
          </w:tcPr>
          <w:p>
            <w:r>
              <w:t>0.0%</w:t>
            </w:r>
          </w:p>
        </w:tc>
      </w:tr>
      <w:tr>
        <w:tc>
          <w:tcPr>
            <w:tcW w:type="dxa" w:w="1234"/>
          </w:tcPr>
          <w:p>
            <w:r>
              <w:t>Constrained Optimized Rebalance</w:t>
            </w:r>
          </w:p>
        </w:tc>
        <w:tc>
          <w:tcPr>
            <w:tcW w:type="dxa" w:w="1234"/>
          </w:tcPr>
          <w:p>
            <w:r>
              <w:t>4.89%</w:t>
            </w:r>
          </w:p>
        </w:tc>
        <w:tc>
          <w:tcPr>
            <w:tcW w:type="dxa" w:w="1234"/>
          </w:tcPr>
          <w:p>
            <w:r>
              <w:t>0.28</w:t>
            </w:r>
          </w:p>
        </w:tc>
        <w:tc>
          <w:tcPr>
            <w:tcW w:type="dxa" w:w="1234"/>
          </w:tcPr>
          <w:p>
            <w:r>
              <w:t>17.59%</w:t>
            </w:r>
          </w:p>
        </w:tc>
        <w:tc>
          <w:tcPr>
            <w:tcW w:type="dxa" w:w="1234"/>
          </w:tcPr>
          <w:p>
            <w:r>
              <w:t>-26.75%</w:t>
            </w:r>
          </w:p>
        </w:tc>
        <w:tc>
          <w:tcPr>
            <w:tcW w:type="dxa" w:w="1234"/>
          </w:tcPr>
          <w:p>
            <w:r>
              <w:t>49.4%</w:t>
            </w:r>
          </w:p>
        </w:tc>
        <w:tc>
          <w:tcPr>
            <w:tcW w:type="dxa" w:w="1234"/>
          </w:tcPr>
          <w:p>
            <w:r>
              <w:t>12.8%</w:t>
            </w:r>
          </w:p>
        </w:tc>
      </w:tr>
      <w:tr>
        <w:tc>
          <w:tcPr>
            <w:tcW w:type="dxa" w:w="1234"/>
          </w:tcPr>
          <w:p>
            <w:r>
              <w:t>Risk Parity Rebalance</w:t>
            </w:r>
          </w:p>
        </w:tc>
        <w:tc>
          <w:tcPr>
            <w:tcW w:type="dxa" w:w="1234"/>
          </w:tcPr>
          <w:p>
            <w:r>
              <w:t>4.22%</w:t>
            </w:r>
          </w:p>
        </w:tc>
        <w:tc>
          <w:tcPr>
            <w:tcW w:type="dxa" w:w="1234"/>
          </w:tcPr>
          <w:p>
            <w:r>
              <w:t>0.25</w:t>
            </w:r>
          </w:p>
        </w:tc>
        <w:tc>
          <w:tcPr>
            <w:tcW w:type="dxa" w:w="1234"/>
          </w:tcPr>
          <w:p>
            <w:r>
              <w:t>16.71%</w:t>
            </w:r>
          </w:p>
        </w:tc>
        <w:tc>
          <w:tcPr>
            <w:tcW w:type="dxa" w:w="1234"/>
          </w:tcPr>
          <w:p>
            <w:r>
              <w:t>-27.51%</w:t>
            </w:r>
          </w:p>
        </w:tc>
        <w:tc>
          <w:tcPr>
            <w:tcW w:type="dxa" w:w="1234"/>
          </w:tcPr>
          <w:p>
            <w:r>
              <w:t>48.5%</w:t>
            </w:r>
          </w:p>
        </w:tc>
        <w:tc>
          <w:tcPr>
            <w:tcW w:type="dxa" w:w="1234"/>
          </w:tcPr>
          <w:p>
            <w:r>
              <w:t>4.7%</w:t>
            </w:r>
          </w:p>
        </w:tc>
      </w:tr>
      <w:tr>
        <w:tc>
          <w:tcPr>
            <w:tcW w:type="dxa" w:w="1234"/>
          </w:tcPr>
          <w:p>
            <w:r>
              <w:t>All Funds</w:t>
            </w:r>
          </w:p>
        </w:tc>
        <w:tc>
          <w:tcPr>
            <w:tcW w:type="dxa" w:w="1234"/>
          </w:tcPr>
          <w:p>
            <w:r>
              <w:t>5.08%</w:t>
            </w:r>
          </w:p>
        </w:tc>
        <w:tc>
          <w:tcPr>
            <w:tcW w:type="dxa" w:w="1234"/>
          </w:tcPr>
          <w:p>
            <w:r>
              <w:t>0.30</w:t>
            </w:r>
          </w:p>
        </w:tc>
        <w:tc>
          <w:tcPr>
            <w:tcW w:type="dxa" w:w="1234"/>
          </w:tcPr>
          <w:p>
            <w:r>
              <w:t>17.20%</w:t>
            </w:r>
          </w:p>
        </w:tc>
        <w:tc>
          <w:tcPr>
            <w:tcW w:type="dxa" w:w="1234"/>
          </w:tcPr>
          <w:p>
            <w:r>
              <w:t>-26.97%</w:t>
            </w:r>
          </w:p>
        </w:tc>
        <w:tc>
          <w:tcPr>
            <w:tcW w:type="dxa" w:w="1234"/>
          </w:tcPr>
          <w:p>
            <w:r>
              <w:t>48.4%</w:t>
            </w:r>
          </w:p>
        </w:tc>
        <w:tc>
          <w:tcPr>
            <w:tcW w:type="dxa" w:w="1234"/>
          </w:tcPr>
          <w:p>
            <w:r>
              <w:t>0.0%</w:t>
            </w:r>
          </w:p>
        </w:tc>
      </w:tr>
    </w:tbl>
    <w:p>
      <w:pPr>
        <w:pStyle w:val="Heading2"/>
      </w:pPr>
      <w:r>
        <w:t>回测设置</w:t>
      </w:r>
    </w:p>
    <w:p>
      <w:pPr>
        <w:pStyle w:val="ListBullet"/>
      </w:pPr>
      <w:r>
        <w:t>有效再平衡窗口：17</w:t>
      </w:r>
    </w:p>
    <w:p>
      <w:pPr>
        <w:pStyle w:val="ListBullet"/>
      </w:pPr>
      <w:r>
        <w:t>再平衡间隔：63 天</w:t>
      </w:r>
    </w:p>
    <w:p>
      <w:pPr>
        <w:pStyle w:val="ListBullet"/>
      </w:pPr>
      <w:r>
        <w:t>单期最大换手率：60.0%</w:t>
      </w:r>
    </w:p>
    <w:p>
      <w:pPr>
        <w:pStyle w:val="ListBullet"/>
      </w:pPr>
      <w:r>
        <w:t>交易成本假设：0.0 bps</w:t>
      </w:r>
    </w:p>
    <w:p>
      <w:pPr>
        <w:pStyle w:val="ListBullet"/>
      </w:pPr>
      <w:r>
        <w:t>累计收益图：reports/web/runs/20260715_080824_203893/portfolio_rebalance_cumulative_return.png</w:t>
      </w:r>
    </w:p>
    <w:p>
      <w:pPr>
        <w:pStyle w:val="Heading2"/>
      </w:pPr>
      <w:r>
        <w:t>使用边界</w:t>
      </w:r>
    </w:p>
    <w:p>
      <w:r>
        <w:t>当前回测未计入申赎费、赎回限制、税费和实际成交摩擦。它用于比较不同组合构建方法的历史表现，不构成未来收益承诺。</w:t>
      </w:r>
    </w:p>
    <w:p>
      <w:r>
        <w:br w:type="page"/>
      </w:r>
    </w:p>
    <w:p>
      <w:pPr>
        <w:pStyle w:val="Heading1"/>
      </w:pPr>
      <w:r>
        <w:t>基金级动态权重报告</w:t>
      </w:r>
    </w:p>
    <w:p>
      <w:pPr>
        <w:pStyle w:val="Heading1"/>
      </w:pPr>
      <w:r>
        <w:t>基金级动态权重报告</w:t>
      </w:r>
    </w:p>
    <w:p>
      <w:pPr>
        <w:pStyle w:val="Heading2"/>
      </w:pPr>
      <w:r>
        <w:t>定位</w:t>
      </w:r>
    </w:p>
    <w:p>
      <w:r>
        <w:t>本报告回答“不同基金是否应该使用完全相同的因子权重”。系统仍保留 balanced 投资者画像作为基础偏好，再根据每只基金自身的收益、回撤、波动、风险调整收益和收益稳定性，对因子权重做局部微调。</w:t>
      </w:r>
    </w:p>
    <w:p>
      <w:r>
        <w:t>动态权重不是用户画像的替代品，而是基金级解释层：同样是 balanced，高波动或深回撤基金会更强调回撤和波动控制；风险调整后收益更稳定的基金会更强调 Sharpe、Calmar 和滚动正收益比例；收益优势明显且风险压力较小的基金会适度提高收益因子权重。</w:t>
      </w:r>
    </w:p>
    <w:p>
      <w:pPr>
        <w:pStyle w:val="Heading2"/>
      </w:pPr>
      <w:r>
        <w:t>Top 10 动态权重排名</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动态排名</w:t>
            </w:r>
          </w:p>
        </w:tc>
        <w:tc>
          <w:tcPr>
            <w:tcW w:type="dxa" w:w="1234"/>
          </w:tcPr>
          <w:p>
            <w:r>
              <w:rPr>
                <w:b/>
              </w:rPr>
              <w:t>基金</w:t>
            </w:r>
          </w:p>
        </w:tc>
        <w:tc>
          <w:tcPr>
            <w:tcW w:type="dxa" w:w="1234"/>
          </w:tcPr>
          <w:p>
            <w:r>
              <w:rPr>
                <w:b/>
              </w:rPr>
              <w:t>动态评分</w:t>
            </w:r>
          </w:p>
        </w:tc>
        <w:tc>
          <w:tcPr>
            <w:tcW w:type="dxa" w:w="1234"/>
          </w:tcPr>
          <w:p>
            <w:r>
              <w:rPr>
                <w:b/>
              </w:rPr>
              <w:t>原排名</w:t>
            </w:r>
          </w:p>
        </w:tc>
        <w:tc>
          <w:tcPr>
            <w:tcW w:type="dxa" w:w="1234"/>
          </w:tcPr>
          <w:p>
            <w:r>
              <w:rPr>
                <w:b/>
              </w:rPr>
              <w:t>原评分</w:t>
            </w:r>
          </w:p>
        </w:tc>
        <w:tc>
          <w:tcPr>
            <w:tcW w:type="dxa" w:w="1234"/>
          </w:tcPr>
          <w:p>
            <w:r>
              <w:rPr>
                <w:b/>
              </w:rPr>
              <w:t>主要动态权重</w:t>
            </w:r>
          </w:p>
        </w:tc>
        <w:tc>
          <w:tcPr>
            <w:tcW w:type="dxa" w:w="1234"/>
          </w:tcPr>
          <w:p>
            <w:r>
              <w:rPr>
                <w:b/>
              </w:rPr>
              <w:t>调整说明</w:t>
            </w:r>
          </w:p>
        </w:tc>
      </w:tr>
      <w:tr>
        <w:tc>
          <w:tcPr>
            <w:tcW w:type="dxa" w:w="1234"/>
          </w:tcPr>
          <w:p>
            <w:r>
              <w:t>1</w:t>
            </w:r>
          </w:p>
        </w:tc>
        <w:tc>
          <w:tcPr>
            <w:tcW w:type="dxa" w:w="1234"/>
          </w:tcPr>
          <w:p>
            <w:r>
              <w:t>001052 华夏中证500ETF联接A</w:t>
            </w:r>
          </w:p>
        </w:tc>
        <w:tc>
          <w:tcPr>
            <w:tcW w:type="dxa" w:w="1234"/>
          </w:tcPr>
          <w:p>
            <w:r>
              <w:t>89.81</w:t>
            </w:r>
          </w:p>
        </w:tc>
        <w:tc>
          <w:tcPr>
            <w:tcW w:type="dxa" w:w="1234"/>
          </w:tcPr>
          <w:p>
            <w:r>
              <w:t>1</w:t>
            </w:r>
          </w:p>
        </w:tc>
        <w:tc>
          <w:tcPr>
            <w:tcW w:type="dxa" w:w="1234"/>
          </w:tcPr>
          <w:p>
            <w:r>
              <w:t>94.00</w:t>
            </w:r>
          </w:p>
        </w:tc>
        <w:tc>
          <w:tcPr>
            <w:tcW w:type="dxa" w:w="1234"/>
          </w:tcPr>
          <w:p>
            <w:r>
              <w:t>Calmar 31.9%；Sharpe 29.3%；年化波动 17.0%</w:t>
            </w:r>
          </w:p>
        </w:tc>
        <w:tc>
          <w:tcPr>
            <w:tcW w:type="dxa" w:w="1234"/>
          </w:tcPr>
          <w:p>
            <w:r>
              <w:t>该基金风险调整后表现和稳定性较好，动态权重更强调Sharpe、Calmar。</w:t>
            </w:r>
          </w:p>
        </w:tc>
      </w:tr>
      <w:tr>
        <w:tc>
          <w:tcPr>
            <w:tcW w:type="dxa" w:w="1234"/>
          </w:tcPr>
          <w:p>
            <w:r>
              <w:t>2</w:t>
            </w:r>
          </w:p>
        </w:tc>
        <w:tc>
          <w:tcPr>
            <w:tcW w:type="dxa" w:w="1234"/>
          </w:tcPr>
          <w:p>
            <w:r>
              <w:t>110020 易方达沪深300ETF联接A</w:t>
            </w:r>
          </w:p>
        </w:tc>
        <w:tc>
          <w:tcPr>
            <w:tcW w:type="dxa" w:w="1234"/>
          </w:tcPr>
          <w:p>
            <w:r>
              <w:t>83.73</w:t>
            </w:r>
          </w:p>
        </w:tc>
        <w:tc>
          <w:tcPr>
            <w:tcW w:type="dxa" w:w="1234"/>
          </w:tcPr>
          <w:p>
            <w:r>
              <w:t>2</w:t>
            </w:r>
          </w:p>
        </w:tc>
        <w:tc>
          <w:tcPr>
            <w:tcW w:type="dxa" w:w="1234"/>
          </w:tcPr>
          <w:p>
            <w:r>
              <w:t>82.00</w:t>
            </w:r>
          </w:p>
        </w:tc>
        <w:tc>
          <w:tcPr>
            <w:tcW w:type="dxa" w:w="1234"/>
          </w:tcPr>
          <w:p>
            <w:r>
              <w:t>Calmar 31.1%；Sharpe 28.6%；年化波动 18.6%</w:t>
            </w:r>
          </w:p>
        </w:tc>
        <w:tc>
          <w:tcPr>
            <w:tcW w:type="dxa" w:w="1234"/>
          </w:tcPr>
          <w:p>
            <w:r>
              <w:t>该基金风险调整后表现和稳定性较好，动态权重更强调Sharpe、滚动正收益比例。</w:t>
            </w:r>
          </w:p>
        </w:tc>
      </w:tr>
      <w:tr>
        <w:tc>
          <w:tcPr>
            <w:tcW w:type="dxa" w:w="1234"/>
          </w:tcPr>
          <w:p>
            <w:r>
              <w:t>3</w:t>
            </w:r>
          </w:p>
        </w:tc>
        <w:tc>
          <w:tcPr>
            <w:tcW w:type="dxa" w:w="1234"/>
          </w:tcPr>
          <w:p>
            <w:r>
              <w:t>000051 华夏沪深300ETF联接A</w:t>
            </w:r>
          </w:p>
        </w:tc>
        <w:tc>
          <w:tcPr>
            <w:tcW w:type="dxa" w:w="1234"/>
          </w:tcPr>
          <w:p>
            <w:r>
              <w:t>58.37</w:t>
            </w:r>
          </w:p>
        </w:tc>
        <w:tc>
          <w:tcPr>
            <w:tcW w:type="dxa" w:w="1234"/>
          </w:tcPr>
          <w:p>
            <w:r>
              <w:t>3</w:t>
            </w:r>
          </w:p>
        </w:tc>
        <w:tc>
          <w:tcPr>
            <w:tcW w:type="dxa" w:w="1234"/>
          </w:tcPr>
          <w:p>
            <w:r>
              <w:t>56.00</w:t>
            </w:r>
          </w:p>
        </w:tc>
        <w:tc>
          <w:tcPr>
            <w:tcW w:type="dxa" w:w="1234"/>
          </w:tcPr>
          <w:p>
            <w:r>
              <w:t>Calmar 31.7%；Sharpe 27.1%；年化波动 20.0%</w:t>
            </w:r>
          </w:p>
        </w:tc>
        <w:tc>
          <w:tcPr>
            <w:tcW w:type="dxa" w:w="1234"/>
          </w:tcPr>
          <w:p>
            <w:r>
              <w:t>该基金风险压力较高，动态权重更强调年化波动、Calmar。</w:t>
            </w:r>
          </w:p>
        </w:tc>
      </w:tr>
      <w:tr>
        <w:tc>
          <w:tcPr>
            <w:tcW w:type="dxa" w:w="1234"/>
          </w:tcPr>
          <w:p>
            <w:r>
              <w:t>4</w:t>
            </w:r>
          </w:p>
        </w:tc>
        <w:tc>
          <w:tcPr>
            <w:tcW w:type="dxa" w:w="1234"/>
          </w:tcPr>
          <w:p>
            <w:r>
              <w:t>005918 天弘沪深300ETF联接C</w:t>
            </w:r>
          </w:p>
        </w:tc>
        <w:tc>
          <w:tcPr>
            <w:tcW w:type="dxa" w:w="1234"/>
          </w:tcPr>
          <w:p>
            <w:r>
              <w:t>50.05</w:t>
            </w:r>
          </w:p>
        </w:tc>
        <w:tc>
          <w:tcPr>
            <w:tcW w:type="dxa" w:w="1234"/>
          </w:tcPr>
          <w:p>
            <w:r>
              <w:t>4</w:t>
            </w:r>
          </w:p>
        </w:tc>
        <w:tc>
          <w:tcPr>
            <w:tcW w:type="dxa" w:w="1234"/>
          </w:tcPr>
          <w:p>
            <w:r>
              <w:t>48.00</w:t>
            </w:r>
          </w:p>
        </w:tc>
        <w:tc>
          <w:tcPr>
            <w:tcW w:type="dxa" w:w="1234"/>
          </w:tcPr>
          <w:p>
            <w:r>
              <w:t>Calmar 31.1%；Sharpe 26.5%；年化波动 20.8%</w:t>
            </w:r>
          </w:p>
        </w:tc>
        <w:tc>
          <w:tcPr>
            <w:tcW w:type="dxa" w:w="1234"/>
          </w:tcPr>
          <w:p>
            <w:r>
              <w:t>根据该基金当前因子分布，动态权重更强调年化波动、最大回撤。</w:t>
            </w:r>
          </w:p>
        </w:tc>
      </w:tr>
      <w:tr>
        <w:tc>
          <w:tcPr>
            <w:tcW w:type="dxa" w:w="1234"/>
          </w:tcPr>
          <w:p>
            <w:r>
              <w:t>5</w:t>
            </w:r>
          </w:p>
        </w:tc>
        <w:tc>
          <w:tcPr>
            <w:tcW w:type="dxa" w:w="1234"/>
          </w:tcPr>
          <w:p>
            <w:r>
              <w:t>000071 华夏恒生ETF联接A</w:t>
            </w:r>
          </w:p>
        </w:tc>
        <w:tc>
          <w:tcPr>
            <w:tcW w:type="dxa" w:w="1234"/>
          </w:tcPr>
          <w:p>
            <w:r>
              <w:t>20.00</w:t>
            </w:r>
          </w:p>
        </w:tc>
        <w:tc>
          <w:tcPr>
            <w:tcW w:type="dxa" w:w="1234"/>
          </w:tcPr>
          <w:p>
            <w:r>
              <w:t>5</w:t>
            </w:r>
          </w:p>
        </w:tc>
        <w:tc>
          <w:tcPr>
            <w:tcW w:type="dxa" w:w="1234"/>
          </w:tcPr>
          <w:p>
            <w:r>
              <w:t>20.00</w:t>
            </w:r>
          </w:p>
        </w:tc>
        <w:tc>
          <w:tcPr>
            <w:tcW w:type="dxa" w:w="1234"/>
          </w:tcPr>
          <w:p>
            <w:r>
              <w:t>Calmar 32.0%；Sharpe 25.3%；年化波动 21.8%</w:t>
            </w:r>
          </w:p>
        </w:tc>
        <w:tc>
          <w:tcPr>
            <w:tcW w:type="dxa" w:w="1234"/>
          </w:tcPr>
          <w:p>
            <w:r>
              <w:t>该基金风险压力较高，动态权重更强调年化波动、最大回撤。</w:t>
            </w:r>
          </w:p>
        </w:tc>
      </w:tr>
    </w:tbl>
    <w:p>
      <w:pPr>
        <w:pStyle w:val="Heading2"/>
      </w:pPr>
      <w:r>
        <w:t>Top 基金动态权重明细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基金</w:t>
            </w:r>
          </w:p>
        </w:tc>
        <w:tc>
          <w:tcPr>
            <w:tcW w:type="dxa" w:w="1234"/>
          </w:tcPr>
          <w:p>
            <w:r>
              <w:rPr>
                <w:b/>
              </w:rPr>
              <w:t>年化收益</w:t>
            </w:r>
          </w:p>
        </w:tc>
        <w:tc>
          <w:tcPr>
            <w:tcW w:type="dxa" w:w="1234"/>
          </w:tcPr>
          <w:p>
            <w:r>
              <w:rPr>
                <w:b/>
              </w:rPr>
              <w:t>Sharpe</w:t>
            </w:r>
          </w:p>
        </w:tc>
        <w:tc>
          <w:tcPr>
            <w:tcW w:type="dxa" w:w="1234"/>
          </w:tcPr>
          <w:p>
            <w:r>
              <w:rPr>
                <w:b/>
              </w:rPr>
              <w:t>最大回撤</w:t>
            </w:r>
          </w:p>
        </w:tc>
        <w:tc>
          <w:tcPr>
            <w:tcW w:type="dxa" w:w="1234"/>
          </w:tcPr>
          <w:p>
            <w:r>
              <w:rPr>
                <w:b/>
              </w:rPr>
              <w:t>Calmar</w:t>
            </w:r>
          </w:p>
        </w:tc>
        <w:tc>
          <w:tcPr>
            <w:tcW w:type="dxa" w:w="1234"/>
          </w:tcPr>
          <w:p>
            <w:r>
              <w:rPr>
                <w:b/>
              </w:rPr>
              <w:t>年化波动</w:t>
            </w:r>
          </w:p>
        </w:tc>
        <w:tc>
          <w:tcPr>
            <w:tcW w:type="dxa" w:w="1234"/>
          </w:tcPr>
          <w:p>
            <w:r>
              <w:rPr>
                <w:b/>
              </w:rPr>
              <w:t>滚动正收益比例</w:t>
            </w:r>
          </w:p>
        </w:tc>
      </w:tr>
      <w:tr>
        <w:tc>
          <w:tcPr>
            <w:tcW w:type="dxa" w:w="1234"/>
          </w:tcPr>
          <w:p>
            <w:r>
              <w:t>001052 华夏中证500ETF联接A</w:t>
            </w:r>
          </w:p>
        </w:tc>
        <w:tc>
          <w:tcPr>
            <w:tcW w:type="dxa" w:w="1234"/>
          </w:tcPr>
          <w:p>
            <w:r>
              <w:t>7.8%</w:t>
            </w:r>
          </w:p>
        </w:tc>
        <w:tc>
          <w:tcPr>
            <w:tcW w:type="dxa" w:w="1234"/>
          </w:tcPr>
          <w:p>
            <w:r>
              <w:t>29.3%</w:t>
            </w:r>
          </w:p>
        </w:tc>
        <w:tc>
          <w:tcPr>
            <w:tcW w:type="dxa" w:w="1234"/>
          </w:tcPr>
          <w:p>
            <w:r>
              <w:t>7.7%</w:t>
            </w:r>
          </w:p>
        </w:tc>
        <w:tc>
          <w:tcPr>
            <w:tcW w:type="dxa" w:w="1234"/>
          </w:tcPr>
          <w:p>
            <w:r>
              <w:t>31.9%</w:t>
            </w:r>
          </w:p>
        </w:tc>
        <w:tc>
          <w:tcPr>
            <w:tcW w:type="dxa" w:w="1234"/>
          </w:tcPr>
          <w:p>
            <w:r>
              <w:t>17.0%</w:t>
            </w:r>
          </w:p>
        </w:tc>
        <w:tc>
          <w:tcPr>
            <w:tcW w:type="dxa" w:w="1234"/>
          </w:tcPr>
          <w:p>
            <w:r>
              <w:t>6.3%</w:t>
            </w:r>
          </w:p>
        </w:tc>
      </w:tr>
      <w:tr>
        <w:tc>
          <w:tcPr>
            <w:tcW w:type="dxa" w:w="1234"/>
          </w:tcPr>
          <w:p>
            <w:r>
              <w:t>110020 易方达沪深300ETF联接A</w:t>
            </w:r>
          </w:p>
        </w:tc>
        <w:tc>
          <w:tcPr>
            <w:tcW w:type="dxa" w:w="1234"/>
          </w:tcPr>
          <w:p>
            <w:r>
              <w:t>7.9%</w:t>
            </w:r>
          </w:p>
        </w:tc>
        <w:tc>
          <w:tcPr>
            <w:tcW w:type="dxa" w:w="1234"/>
          </w:tcPr>
          <w:p>
            <w:r>
              <w:t>28.6%</w:t>
            </w:r>
          </w:p>
        </w:tc>
        <w:tc>
          <w:tcPr>
            <w:tcW w:type="dxa" w:w="1234"/>
          </w:tcPr>
          <w:p>
            <w:r>
              <w:t>7.6%</w:t>
            </w:r>
          </w:p>
        </w:tc>
        <w:tc>
          <w:tcPr>
            <w:tcW w:type="dxa" w:w="1234"/>
          </w:tcPr>
          <w:p>
            <w:r>
              <w:t>31.1%</w:t>
            </w:r>
          </w:p>
        </w:tc>
        <w:tc>
          <w:tcPr>
            <w:tcW w:type="dxa" w:w="1234"/>
          </w:tcPr>
          <w:p>
            <w:r>
              <w:t>18.6%</w:t>
            </w:r>
          </w:p>
        </w:tc>
        <w:tc>
          <w:tcPr>
            <w:tcW w:type="dxa" w:w="1234"/>
          </w:tcPr>
          <w:p>
            <w:r>
              <w:t>6.2%</w:t>
            </w:r>
          </w:p>
        </w:tc>
      </w:tr>
      <w:tr>
        <w:tc>
          <w:tcPr>
            <w:tcW w:type="dxa" w:w="1234"/>
          </w:tcPr>
          <w:p>
            <w:r>
              <w:t>000051 华夏沪深300ETF联接A</w:t>
            </w:r>
          </w:p>
        </w:tc>
        <w:tc>
          <w:tcPr>
            <w:tcW w:type="dxa" w:w="1234"/>
          </w:tcPr>
          <w:p>
            <w:r>
              <w:t>7.3%</w:t>
            </w:r>
          </w:p>
        </w:tc>
        <w:tc>
          <w:tcPr>
            <w:tcW w:type="dxa" w:w="1234"/>
          </w:tcPr>
          <w:p>
            <w:r>
              <w:t>27.1%</w:t>
            </w:r>
          </w:p>
        </w:tc>
        <w:tc>
          <w:tcPr>
            <w:tcW w:type="dxa" w:w="1234"/>
          </w:tcPr>
          <w:p>
            <w:r>
              <w:t>8.2%</w:t>
            </w:r>
          </w:p>
        </w:tc>
        <w:tc>
          <w:tcPr>
            <w:tcW w:type="dxa" w:w="1234"/>
          </w:tcPr>
          <w:p>
            <w:r>
              <w:t>31.7%</w:t>
            </w:r>
          </w:p>
        </w:tc>
        <w:tc>
          <w:tcPr>
            <w:tcW w:type="dxa" w:w="1234"/>
          </w:tcPr>
          <w:p>
            <w:r>
              <w:t>20.0%</w:t>
            </w:r>
          </w:p>
        </w:tc>
        <w:tc>
          <w:tcPr>
            <w:tcW w:type="dxa" w:w="1234"/>
          </w:tcPr>
          <w:p>
            <w:r>
              <w:t>5.8%</w:t>
            </w:r>
          </w:p>
        </w:tc>
      </w:tr>
      <w:tr>
        <w:tc>
          <w:tcPr>
            <w:tcW w:type="dxa" w:w="1234"/>
          </w:tcPr>
          <w:p>
            <w:r>
              <w:t>005918 天弘沪深300ETF联接C</w:t>
            </w:r>
          </w:p>
        </w:tc>
        <w:tc>
          <w:tcPr>
            <w:tcW w:type="dxa" w:w="1234"/>
          </w:tcPr>
          <w:p>
            <w:r>
              <w:t>7.3%</w:t>
            </w:r>
          </w:p>
        </w:tc>
        <w:tc>
          <w:tcPr>
            <w:tcW w:type="dxa" w:w="1234"/>
          </w:tcPr>
          <w:p>
            <w:r>
              <w:t>26.5%</w:t>
            </w:r>
          </w:p>
        </w:tc>
        <w:tc>
          <w:tcPr>
            <w:tcW w:type="dxa" w:w="1234"/>
          </w:tcPr>
          <w:p>
            <w:r>
              <w:t>8.5%</w:t>
            </w:r>
          </w:p>
        </w:tc>
        <w:tc>
          <w:tcPr>
            <w:tcW w:type="dxa" w:w="1234"/>
          </w:tcPr>
          <w:p>
            <w:r>
              <w:t>31.1%</w:t>
            </w:r>
          </w:p>
        </w:tc>
        <w:tc>
          <w:tcPr>
            <w:tcW w:type="dxa" w:w="1234"/>
          </w:tcPr>
          <w:p>
            <w:r>
              <w:t>20.8%</w:t>
            </w:r>
          </w:p>
        </w:tc>
        <w:tc>
          <w:tcPr>
            <w:tcW w:type="dxa" w:w="1234"/>
          </w:tcPr>
          <w:p>
            <w:r>
              <w:t>5.7%</w:t>
            </w:r>
          </w:p>
        </w:tc>
      </w:tr>
      <w:tr>
        <w:tc>
          <w:tcPr>
            <w:tcW w:type="dxa" w:w="1234"/>
          </w:tcPr>
          <w:p>
            <w:r>
              <w:t>000071 华夏恒生ETF联接A</w:t>
            </w:r>
          </w:p>
        </w:tc>
        <w:tc>
          <w:tcPr>
            <w:tcW w:type="dxa" w:w="1234"/>
          </w:tcPr>
          <w:p>
            <w:r>
              <w:t>6.3%</w:t>
            </w:r>
          </w:p>
        </w:tc>
        <w:tc>
          <w:tcPr>
            <w:tcW w:type="dxa" w:w="1234"/>
          </w:tcPr>
          <w:p>
            <w:r>
              <w:t>25.3%</w:t>
            </w:r>
          </w:p>
        </w:tc>
        <w:tc>
          <w:tcPr>
            <w:tcW w:type="dxa" w:w="1234"/>
          </w:tcPr>
          <w:p>
            <w:r>
              <w:t>9.2%</w:t>
            </w:r>
          </w:p>
        </w:tc>
        <w:tc>
          <w:tcPr>
            <w:tcW w:type="dxa" w:w="1234"/>
          </w:tcPr>
          <w:p>
            <w:r>
              <w:t>32.0%</w:t>
            </w:r>
          </w:p>
        </w:tc>
        <w:tc>
          <w:tcPr>
            <w:tcW w:type="dxa" w:w="1234"/>
          </w:tcPr>
          <w:p>
            <w:r>
              <w:t>21.8%</w:t>
            </w:r>
          </w:p>
        </w:tc>
        <w:tc>
          <w:tcPr>
            <w:tcW w:type="dxa" w:w="1234"/>
          </w:tcPr>
          <w:p>
            <w:r>
              <w:t>5.5%</w:t>
            </w:r>
          </w:p>
        </w:tc>
      </w:tr>
    </w:tbl>
    <w:p>
      <w:pPr>
        <w:pStyle w:val="Heading2"/>
      </w:pPr>
      <w:r>
        <w:t>使用边界</w:t>
      </w:r>
    </w:p>
    <w:p>
      <w:r>
        <w:t>动态权重用于解释和研究对照，不代表对未来收益的预测承诺。若基金样本期较短、数据质量不足或市场风格发生变化，应结合原始排名、ML 辅助排名、LIME 局部解释和 Walk-Forward 验证一起判断。</w:t>
      </w:r>
    </w:p>
    <w:p>
      <w:r>
        <w:br w:type="page"/>
      </w:r>
    </w:p>
    <w:p>
      <w:pPr>
        <w:pStyle w:val="Heading1"/>
      </w:pPr>
      <w:r>
        <w:t>动态权重 Walk-Forward 验证</w:t>
      </w:r>
    </w:p>
    <w:p>
      <w:pPr>
        <w:pStyle w:val="Heading1"/>
      </w:pPr>
      <w:r>
        <w:t>动态权重 Walk-Forward 验证</w:t>
      </w:r>
    </w:p>
    <w:p>
      <w:r>
        <w:t>本验证用于回答：基金级动态权重是否只是解释层，还是能在滚动样本外选择中带来更好的区分能力。</w:t>
      </w:r>
    </w:p>
    <w:p>
      <w:r>
        <w:t>验证方式：</w:t>
      </w:r>
    </w:p>
    <w:p>
      <w:pPr>
        <w:pStyle w:val="ListBullet"/>
      </w:pPr>
      <w:r>
        <w:t>每个训练窗口先计算基金指标。</w:t>
      </w:r>
    </w:p>
    <w:p>
      <w:pPr>
        <w:pStyle w:val="ListBullet"/>
      </w:pPr>
      <w:r>
        <w:t>固定权重模型选择 Fixed TopN。</w:t>
      </w:r>
    </w:p>
    <w:p>
      <w:pPr>
        <w:pStyle w:val="ListBullet"/>
      </w:pPr>
      <w:r>
        <w:t>动态权重模型根据每只基金局部特征生成权重并选择 Adaptive TopN。</w:t>
      </w:r>
    </w:p>
    <w:p>
      <w:pPr>
        <w:pStyle w:val="ListBullet"/>
      </w:pPr>
      <w:r>
        <w:t>后续持有期用真实净值计算等权组合收益。</w:t>
      </w:r>
    </w:p>
    <w:p>
      <w:pPr>
        <w:pStyle w:val="ListBullet"/>
      </w:pPr>
      <w:r>
        <w:t>与本次基金池全基金等权组合比较。</w:t>
      </w:r>
    </w:p>
    <w:p>
      <w:pPr>
        <w:pStyle w:val="Heading2"/>
      </w:pPr>
      <w:r>
        <w:t>结果汇总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Portfolio</w:t>
            </w:r>
          </w:p>
        </w:tc>
        <w:tc>
          <w:tcPr>
            <w:tcW w:type="dxa" w:w="1440"/>
          </w:tcPr>
          <w:p>
            <w:r>
              <w:rPr>
                <w:b/>
              </w:rPr>
              <w:t>Annual Return</w:t>
            </w:r>
          </w:p>
        </w:tc>
        <w:tc>
          <w:tcPr>
            <w:tcW w:type="dxa" w:w="1440"/>
          </w:tcPr>
          <w:p>
            <w:r>
              <w:rPr>
                <w:b/>
              </w:rPr>
              <w:t>Sharpe</w:t>
            </w:r>
          </w:p>
        </w:tc>
        <w:tc>
          <w:tcPr>
            <w:tcW w:type="dxa" w:w="1440"/>
          </w:tcPr>
          <w:p>
            <w:r>
              <w:rPr>
                <w:b/>
              </w:rPr>
              <w:t>Volatility</w:t>
            </w:r>
          </w:p>
        </w:tc>
        <w:tc>
          <w:tcPr>
            <w:tcW w:type="dxa" w:w="1440"/>
          </w:tcPr>
          <w:p>
            <w:r>
              <w:rPr>
                <w:b/>
              </w:rPr>
              <w:t>Max Drawdown</w:t>
            </w:r>
          </w:p>
        </w:tc>
        <w:tc>
          <w:tcPr>
            <w:tcW w:type="dxa" w:w="1440"/>
          </w:tcPr>
          <w:p>
            <w:r>
              <w:rPr>
                <w:b/>
              </w:rPr>
              <w:t>Win Rate</w:t>
            </w:r>
          </w:p>
        </w:tc>
      </w:tr>
      <w:tr>
        <w:tc>
          <w:tcPr>
            <w:tcW w:type="dxa" w:w="1440"/>
          </w:tcPr>
          <w:p>
            <w:r>
              <w:t>Fixed TopN</w:t>
            </w:r>
          </w:p>
        </w:tc>
        <w:tc>
          <w:tcPr>
            <w:tcW w:type="dxa" w:w="1440"/>
          </w:tcPr>
          <w:p>
            <w:r>
              <w:t>5.08%</w:t>
            </w:r>
          </w:p>
        </w:tc>
        <w:tc>
          <w:tcPr>
            <w:tcW w:type="dxa" w:w="1440"/>
          </w:tcPr>
          <w:p>
            <w:r>
              <w:t>0.30</w:t>
            </w:r>
          </w:p>
        </w:tc>
        <w:tc>
          <w:tcPr>
            <w:tcW w:type="dxa" w:w="1440"/>
          </w:tcPr>
          <w:p>
            <w:r>
              <w:t>17.20%</w:t>
            </w:r>
          </w:p>
        </w:tc>
        <w:tc>
          <w:tcPr>
            <w:tcW w:type="dxa" w:w="1440"/>
          </w:tcPr>
          <w:p>
            <w:r>
              <w:t>-26.97%</w:t>
            </w:r>
          </w:p>
        </w:tc>
        <w:tc>
          <w:tcPr>
            <w:tcW w:type="dxa" w:w="1440"/>
          </w:tcPr>
          <w:p>
            <w:r>
              <w:t>48.4%</w:t>
            </w:r>
          </w:p>
        </w:tc>
      </w:tr>
      <w:tr>
        <w:tc>
          <w:tcPr>
            <w:tcW w:type="dxa" w:w="1440"/>
          </w:tcPr>
          <w:p>
            <w:r>
              <w:t>Adaptive TopN</w:t>
            </w:r>
          </w:p>
        </w:tc>
        <w:tc>
          <w:tcPr>
            <w:tcW w:type="dxa" w:w="1440"/>
          </w:tcPr>
          <w:p>
            <w:r>
              <w:t>5.08%</w:t>
            </w:r>
          </w:p>
        </w:tc>
        <w:tc>
          <w:tcPr>
            <w:tcW w:type="dxa" w:w="1440"/>
          </w:tcPr>
          <w:p>
            <w:r>
              <w:t>0.30</w:t>
            </w:r>
          </w:p>
        </w:tc>
        <w:tc>
          <w:tcPr>
            <w:tcW w:type="dxa" w:w="1440"/>
          </w:tcPr>
          <w:p>
            <w:r>
              <w:t>17.20%</w:t>
            </w:r>
          </w:p>
        </w:tc>
        <w:tc>
          <w:tcPr>
            <w:tcW w:type="dxa" w:w="1440"/>
          </w:tcPr>
          <w:p>
            <w:r>
              <w:t>-26.97%</w:t>
            </w:r>
          </w:p>
        </w:tc>
        <w:tc>
          <w:tcPr>
            <w:tcW w:type="dxa" w:w="1440"/>
          </w:tcPr>
          <w:p>
            <w:r>
              <w:t>48.4%</w:t>
            </w:r>
          </w:p>
        </w:tc>
      </w:tr>
      <w:tr>
        <w:tc>
          <w:tcPr>
            <w:tcW w:type="dxa" w:w="1440"/>
          </w:tcPr>
          <w:p>
            <w:r>
              <w:t>All Funds</w:t>
            </w:r>
          </w:p>
        </w:tc>
        <w:tc>
          <w:tcPr>
            <w:tcW w:type="dxa" w:w="1440"/>
          </w:tcPr>
          <w:p>
            <w:r>
              <w:t>5.08%</w:t>
            </w:r>
          </w:p>
        </w:tc>
        <w:tc>
          <w:tcPr>
            <w:tcW w:type="dxa" w:w="1440"/>
          </w:tcPr>
          <w:p>
            <w:r>
              <w:t>0.30</w:t>
            </w:r>
          </w:p>
        </w:tc>
        <w:tc>
          <w:tcPr>
            <w:tcW w:type="dxa" w:w="1440"/>
          </w:tcPr>
          <w:p>
            <w:r>
              <w:t>17.20%</w:t>
            </w:r>
          </w:p>
        </w:tc>
        <w:tc>
          <w:tcPr>
            <w:tcW w:type="dxa" w:w="1440"/>
          </w:tcPr>
          <w:p>
            <w:r>
              <w:t>-26.97%</w:t>
            </w:r>
          </w:p>
        </w:tc>
        <w:tc>
          <w:tcPr>
            <w:tcW w:type="dxa" w:w="1440"/>
          </w:tcPr>
          <w:p>
            <w:r>
              <w:t>48.4%</w:t>
            </w:r>
          </w:p>
        </w:tc>
      </w:tr>
    </w:tbl>
    <w:p>
      <w:pPr>
        <w:pStyle w:val="Heading2"/>
      </w:pPr>
      <w:r>
        <w:t>动态权重相对固定权重</w:t>
      </w:r>
    </w:p>
    <w:p>
      <w:pPr>
        <w:pStyle w:val="ListBullet"/>
      </w:pPr>
      <w:r>
        <w:t>年化收益差：0.00%</w:t>
      </w:r>
    </w:p>
    <w:p>
      <w:pPr>
        <w:pStyle w:val="ListBullet"/>
      </w:pPr>
      <w:r>
        <w:t>有效滚动窗口数量：17</w:t>
      </w:r>
    </w:p>
    <w:p>
      <w:pPr>
        <w:pStyle w:val="ListBullet"/>
      </w:pPr>
      <w:r>
        <w:t>累计收益图：reports/web/runs/20260715_080824_203893/adaptive_walk_forward_cumulative_return.png</w:t>
      </w:r>
    </w:p>
    <w:p>
      <w:pPr>
        <w:pStyle w:val="Heading2"/>
      </w:pPr>
      <w:r>
        <w:t>使用边界</w:t>
      </w:r>
    </w:p>
    <w:p>
      <w:r>
        <w:t>动态权重验证仍基于历史滚动窗口，不能保证未来有效。它适合判断“动态权重是否比固定权重更有研究价值”，不应被理解为收益承诺或交易信号。</w:t>
      </w:r>
    </w:p>
    <w:p>
      <w:r>
        <w:br w:type="page"/>
      </w:r>
    </w:p>
    <w:p>
      <w:pPr>
        <w:pStyle w:val="Heading1"/>
      </w:pPr>
      <w:r>
        <w:t>ML 辅助评分报告</w:t>
      </w:r>
    </w:p>
    <w:p>
      <w:pPr>
        <w:pStyle w:val="Heading1"/>
      </w:pPr>
      <w:r>
        <w:t>机器学习辅助评分报告</w:t>
      </w:r>
    </w:p>
    <w:p>
      <w:pPr>
        <w:pStyle w:val="Heading2"/>
      </w:pPr>
      <w:r>
        <w:t>定位</w:t>
      </w:r>
    </w:p>
    <w:p>
      <w:r>
        <w:t>本模块用于把项目升级为机器学习辅助版本。系统使用 Walk-Forward 历史窗口生成基金级训练样本，以训练期风险收益指标解释下一持有期的相对收益排名，再把模型学到的非负因子重要性转换为评分权重。</w:t>
      </w:r>
    </w:p>
    <w:p>
      <w:r>
        <w:t>主排名仍保留人工设定的投资者画像权重；本报告提供一份 ML 辅助排名，用于研究对照和展示模型迭代能力。</w:t>
      </w:r>
    </w:p>
    <w:p>
      <w:pPr>
        <w:pStyle w:val="Heading2"/>
      </w:pPr>
      <w:r>
        <w:t>模型状态</w:t>
      </w:r>
    </w:p>
    <w:p>
      <w:pPr>
        <w:pStyle w:val="ListBullet"/>
      </w:pPr>
      <w:r>
        <w:t>投资者画像：balanced</w:t>
      </w:r>
    </w:p>
    <w:p>
      <w:pPr>
        <w:pStyle w:val="ListBullet"/>
      </w:pPr>
      <w:r>
        <w:t>状态：trained</w:t>
      </w:r>
    </w:p>
    <w:p>
      <w:pPr>
        <w:pStyle w:val="ListBullet"/>
      </w:pPr>
      <w:r>
        <w:t>有效训练样本：85</w:t>
      </w:r>
    </w:p>
    <w:p>
      <w:pPr>
        <w:pStyle w:val="ListBullet"/>
      </w:pPr>
      <w:r>
        <w:t>有效滚动窗口：17</w:t>
      </w:r>
    </w:p>
    <w:p>
      <w:pPr>
        <w:pStyle w:val="ListBullet"/>
      </w:pPr>
      <w:r>
        <w:t>训练集 R²：0.005</w:t>
      </w:r>
    </w:p>
    <w:p>
      <w:pPr>
        <w:pStyle w:val="ListBullet"/>
      </w:pPr>
      <w:r>
        <w:t>平均 Rank IC：-0.035</w:t>
      </w:r>
    </w:p>
    <w:p>
      <w:pPr>
        <w:pStyle w:val="ListBullet"/>
      </w:pPr>
      <w:r>
        <w:t>TopK 命中率：17.6%</w:t>
      </w:r>
    </w:p>
    <w:p>
      <w:pPr>
        <w:pStyle w:val="ListBullet"/>
      </w:pPr>
      <w:r>
        <w:t>ML 权重融合比例：60%</w:t>
      </w:r>
    </w:p>
    <w:p>
      <w:r>
        <w:t>模型已基于历史滚动窗口完成训练，并将学习权重与当前投资者画像权重进行融合。</w:t>
      </w:r>
    </w:p>
    <w:p>
      <w:pPr>
        <w:pStyle w:val="Heading2"/>
      </w:pPr>
      <w:r>
        <w:t>学习到的权重</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因子</w:t>
            </w:r>
          </w:p>
        </w:tc>
        <w:tc>
          <w:tcPr>
            <w:tcW w:type="dxa" w:w="1728"/>
          </w:tcPr>
          <w:p>
            <w:r>
              <w:rPr>
                <w:b/>
              </w:rPr>
              <w:t>原画像权重</w:t>
            </w:r>
          </w:p>
        </w:tc>
        <w:tc>
          <w:tcPr>
            <w:tcW w:type="dxa" w:w="1728"/>
          </w:tcPr>
          <w:p>
            <w:r>
              <w:rPr>
                <w:b/>
              </w:rPr>
              <w:t>ML学习权重</w:t>
            </w:r>
          </w:p>
        </w:tc>
        <w:tc>
          <w:tcPr>
            <w:tcW w:type="dxa" w:w="1728"/>
          </w:tcPr>
          <w:p>
            <w:r>
              <w:rPr>
                <w:b/>
              </w:rPr>
              <w:t>最终融合权重</w:t>
            </w:r>
          </w:p>
        </w:tc>
        <w:tc>
          <w:tcPr>
            <w:tcW w:type="dxa" w:w="1728"/>
          </w:tcPr>
          <w:p>
            <w:r>
              <w:rPr>
                <w:b/>
              </w:rPr>
              <w:t>标准化系数</w:t>
            </w:r>
          </w:p>
        </w:tc>
      </w:tr>
      <w:tr>
        <w:tc>
          <w:tcPr>
            <w:tcW w:type="dxa" w:w="1728"/>
          </w:tcPr>
          <w:p>
            <w:r>
              <w:t>calmar</w:t>
            </w:r>
          </w:p>
        </w:tc>
        <w:tc>
          <w:tcPr>
            <w:tcW w:type="dxa" w:w="1728"/>
          </w:tcPr>
          <w:p>
            <w:r>
              <w:t>10.0%</w:t>
            </w:r>
          </w:p>
        </w:tc>
        <w:tc>
          <w:tcPr>
            <w:tcW w:type="dxa" w:w="1728"/>
          </w:tcPr>
          <w:p>
            <w:r>
              <w:t>45.2%</w:t>
            </w:r>
          </w:p>
        </w:tc>
        <w:tc>
          <w:tcPr>
            <w:tcW w:type="dxa" w:w="1728"/>
          </w:tcPr>
          <w:p>
            <w:r>
              <w:t>31.1%</w:t>
            </w:r>
          </w:p>
        </w:tc>
        <w:tc>
          <w:tcPr>
            <w:tcW w:type="dxa" w:w="1728"/>
          </w:tcPr>
          <w:p>
            <w:r>
              <w:t>3.1848</w:t>
            </w:r>
          </w:p>
        </w:tc>
      </w:tr>
      <w:tr>
        <w:tc>
          <w:tcPr>
            <w:tcW w:type="dxa" w:w="1728"/>
          </w:tcPr>
          <w:p>
            <w:r>
              <w:t>sharpe</w:t>
            </w:r>
          </w:p>
        </w:tc>
        <w:tc>
          <w:tcPr>
            <w:tcW w:type="dxa" w:w="1728"/>
          </w:tcPr>
          <w:p>
            <w:r>
              <w:t>25.0%</w:t>
            </w:r>
          </w:p>
        </w:tc>
        <w:tc>
          <w:tcPr>
            <w:tcW w:type="dxa" w:w="1728"/>
          </w:tcPr>
          <w:p>
            <w:r>
              <w:t>29.7%</w:t>
            </w:r>
          </w:p>
        </w:tc>
        <w:tc>
          <w:tcPr>
            <w:tcW w:type="dxa" w:w="1728"/>
          </w:tcPr>
          <w:p>
            <w:r>
              <w:t>27.8%</w:t>
            </w:r>
          </w:p>
        </w:tc>
        <w:tc>
          <w:tcPr>
            <w:tcW w:type="dxa" w:w="1728"/>
          </w:tcPr>
          <w:p>
            <w:r>
              <w:t>2.0917</w:t>
            </w:r>
          </w:p>
        </w:tc>
      </w:tr>
      <w:tr>
        <w:tc>
          <w:tcPr>
            <w:tcW w:type="dxa" w:w="1728"/>
          </w:tcPr>
          <w:p>
            <w:r>
              <w:t>annual_volatility</w:t>
            </w:r>
          </w:p>
        </w:tc>
        <w:tc>
          <w:tcPr>
            <w:tcW w:type="dxa" w:w="1728"/>
          </w:tcPr>
          <w:p>
            <w:r>
              <w:t>10.0%</w:t>
            </w:r>
          </w:p>
        </w:tc>
        <w:tc>
          <w:tcPr>
            <w:tcW w:type="dxa" w:w="1728"/>
          </w:tcPr>
          <w:p>
            <w:r>
              <w:t>25.1%</w:t>
            </w:r>
          </w:p>
        </w:tc>
        <w:tc>
          <w:tcPr>
            <w:tcW w:type="dxa" w:w="1728"/>
          </w:tcPr>
          <w:p>
            <w:r>
              <w:t>19.1%</w:t>
            </w:r>
          </w:p>
        </w:tc>
        <w:tc>
          <w:tcPr>
            <w:tcW w:type="dxa" w:w="1728"/>
          </w:tcPr>
          <w:p>
            <w:r>
              <w:t>1.7675</w:t>
            </w:r>
          </w:p>
        </w:tc>
      </w:tr>
      <w:tr>
        <w:tc>
          <w:tcPr>
            <w:tcW w:type="dxa" w:w="1728"/>
          </w:tcPr>
          <w:p>
            <w:r>
              <w:t>annual_return</w:t>
            </w:r>
          </w:p>
        </w:tc>
        <w:tc>
          <w:tcPr>
            <w:tcW w:type="dxa" w:w="1728"/>
          </w:tcPr>
          <w:p>
            <w:r>
              <w:t>20.0%</w:t>
            </w:r>
          </w:p>
        </w:tc>
        <w:tc>
          <w:tcPr>
            <w:tcW w:type="dxa" w:w="1728"/>
          </w:tcPr>
          <w:p>
            <w:r>
              <w:t>0.0%</w:t>
            </w:r>
          </w:p>
        </w:tc>
        <w:tc>
          <w:tcPr>
            <w:tcW w:type="dxa" w:w="1728"/>
          </w:tcPr>
          <w:p>
            <w:r>
              <w:t>8.0%</w:t>
            </w:r>
          </w:p>
        </w:tc>
        <w:tc>
          <w:tcPr>
            <w:tcW w:type="dxa" w:w="1728"/>
          </w:tcPr>
          <w:p>
            <w:r>
              <w:t>-3.2354</w:t>
            </w:r>
          </w:p>
        </w:tc>
      </w:tr>
      <w:tr>
        <w:tc>
          <w:tcPr>
            <w:tcW w:type="dxa" w:w="1728"/>
          </w:tcPr>
          <w:p>
            <w:r>
              <w:t>max_drawdown</w:t>
            </w:r>
          </w:p>
        </w:tc>
        <w:tc>
          <w:tcPr>
            <w:tcW w:type="dxa" w:w="1728"/>
          </w:tcPr>
          <w:p>
            <w:r>
              <w:t>20.0%</w:t>
            </w:r>
          </w:p>
        </w:tc>
        <w:tc>
          <w:tcPr>
            <w:tcW w:type="dxa" w:w="1728"/>
          </w:tcPr>
          <w:p>
            <w:r>
              <w:t>0.0%</w:t>
            </w:r>
          </w:p>
        </w:tc>
        <w:tc>
          <w:tcPr>
            <w:tcW w:type="dxa" w:w="1728"/>
          </w:tcPr>
          <w:p>
            <w:r>
              <w:t>8.0%</w:t>
            </w:r>
          </w:p>
        </w:tc>
        <w:tc>
          <w:tcPr>
            <w:tcW w:type="dxa" w:w="1728"/>
          </w:tcPr>
          <w:p>
            <w:r>
              <w:t>-0.9126</w:t>
            </w:r>
          </w:p>
        </w:tc>
      </w:tr>
      <w:tr>
        <w:tc>
          <w:tcPr>
            <w:tcW w:type="dxa" w:w="1728"/>
          </w:tcPr>
          <w:p>
            <w:r>
              <w:t>rolling_positive_ratio</w:t>
            </w:r>
          </w:p>
        </w:tc>
        <w:tc>
          <w:tcPr>
            <w:tcW w:type="dxa" w:w="1728"/>
          </w:tcPr>
          <w:p>
            <w:r>
              <w:t>15.0%</w:t>
            </w:r>
          </w:p>
        </w:tc>
        <w:tc>
          <w:tcPr>
            <w:tcW w:type="dxa" w:w="1728"/>
          </w:tcPr>
          <w:p>
            <w:r>
              <w:t>0.0%</w:t>
            </w:r>
          </w:p>
        </w:tc>
        <w:tc>
          <w:tcPr>
            <w:tcW w:type="dxa" w:w="1728"/>
          </w:tcPr>
          <w:p>
            <w:r>
              <w:t>6.0%</w:t>
            </w:r>
          </w:p>
        </w:tc>
        <w:tc>
          <w:tcPr>
            <w:tcW w:type="dxa" w:w="1728"/>
          </w:tcPr>
          <w:p>
            <w:r>
              <w:t>-1.0940</w:t>
            </w:r>
          </w:p>
        </w:tc>
      </w:tr>
    </w:tbl>
    <w:p>
      <w:pPr>
        <w:pStyle w:val="Heading2"/>
      </w:pPr>
      <w:r>
        <w:t>Top 10 ML 辅助排名</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ML排名</w:t>
            </w:r>
          </w:p>
        </w:tc>
        <w:tc>
          <w:tcPr>
            <w:tcW w:type="dxa" w:w="1440"/>
          </w:tcPr>
          <w:p>
            <w:r>
              <w:rPr>
                <w:b/>
              </w:rPr>
              <w:t>基金</w:t>
            </w:r>
          </w:p>
        </w:tc>
        <w:tc>
          <w:tcPr>
            <w:tcW w:type="dxa" w:w="1440"/>
          </w:tcPr>
          <w:p>
            <w:r>
              <w:rPr>
                <w:b/>
              </w:rPr>
              <w:t>ML评分</w:t>
            </w:r>
          </w:p>
        </w:tc>
        <w:tc>
          <w:tcPr>
            <w:tcW w:type="dxa" w:w="1440"/>
          </w:tcPr>
          <w:p>
            <w:r>
              <w:rPr>
                <w:b/>
              </w:rPr>
              <w:t>年化收益率</w:t>
            </w:r>
          </w:p>
        </w:tc>
        <w:tc>
          <w:tcPr>
            <w:tcW w:type="dxa" w:w="1440"/>
          </w:tcPr>
          <w:p>
            <w:r>
              <w:rPr>
                <w:b/>
              </w:rPr>
              <w:t>最大回撤</w:t>
            </w:r>
          </w:p>
        </w:tc>
        <w:tc>
          <w:tcPr>
            <w:tcW w:type="dxa" w:w="1440"/>
          </w:tcPr>
          <w:p>
            <w:r>
              <w:rPr>
                <w:b/>
              </w:rPr>
              <w:t>Sharpe</w:t>
            </w:r>
          </w:p>
        </w:tc>
      </w:tr>
      <w:tr>
        <w:tc>
          <w:tcPr>
            <w:tcW w:type="dxa" w:w="1440"/>
          </w:tcPr>
          <w:p>
            <w:r>
              <w:t>1</w:t>
            </w:r>
          </w:p>
        </w:tc>
        <w:tc>
          <w:tcPr>
            <w:tcW w:type="dxa" w:w="1440"/>
          </w:tcPr>
          <w:p>
            <w:r>
              <w:t>001052 华夏中证500ETF联接A</w:t>
            </w:r>
          </w:p>
        </w:tc>
        <w:tc>
          <w:tcPr>
            <w:tcW w:type="dxa" w:w="1440"/>
          </w:tcPr>
          <w:p>
            <w:r>
              <w:t>88.57</w:t>
            </w:r>
          </w:p>
        </w:tc>
        <w:tc>
          <w:tcPr>
            <w:tcW w:type="dxa" w:w="1440"/>
          </w:tcPr>
          <w:p>
            <w:r>
              <w:t>6.74%</w:t>
            </w:r>
          </w:p>
        </w:tc>
        <w:tc>
          <w:tcPr>
            <w:tcW w:type="dxa" w:w="1440"/>
          </w:tcPr>
          <w:p>
            <w:r>
              <w:t>-38.18%</w:t>
            </w:r>
          </w:p>
        </w:tc>
        <w:tc>
          <w:tcPr>
            <w:tcW w:type="dxa" w:w="1440"/>
          </w:tcPr>
          <w:p>
            <w:r>
              <w:t>0.236</w:t>
            </w:r>
          </w:p>
        </w:tc>
      </w:tr>
      <w:tr>
        <w:tc>
          <w:tcPr>
            <w:tcW w:type="dxa" w:w="1440"/>
          </w:tcPr>
          <w:p>
            <w:r>
              <w:t>2</w:t>
            </w:r>
          </w:p>
        </w:tc>
        <w:tc>
          <w:tcPr>
            <w:tcW w:type="dxa" w:w="1440"/>
          </w:tcPr>
          <w:p>
            <w:r>
              <w:t>110020 易方达沪深300ETF联接A</w:t>
            </w:r>
          </w:p>
        </w:tc>
        <w:tc>
          <w:tcPr>
            <w:tcW w:type="dxa" w:w="1440"/>
          </w:tcPr>
          <w:p>
            <w:r>
              <w:t>83.81</w:t>
            </w:r>
          </w:p>
        </w:tc>
        <w:tc>
          <w:tcPr>
            <w:tcW w:type="dxa" w:w="1440"/>
          </w:tcPr>
          <w:p>
            <w:r>
              <w:t>0.43%</w:t>
            </w:r>
          </w:p>
        </w:tc>
        <w:tc>
          <w:tcPr>
            <w:tcW w:type="dxa" w:w="1440"/>
          </w:tcPr>
          <w:p>
            <w:r>
              <w:t>-39.43%</w:t>
            </w:r>
          </w:p>
        </w:tc>
        <w:tc>
          <w:tcPr>
            <w:tcW w:type="dxa" w:w="1440"/>
          </w:tcPr>
          <w:p>
            <w:r>
              <w:t>-0.092</w:t>
            </w:r>
          </w:p>
        </w:tc>
      </w:tr>
      <w:tr>
        <w:tc>
          <w:tcPr>
            <w:tcW w:type="dxa" w:w="1440"/>
          </w:tcPr>
          <w:p>
            <w:r>
              <w:t>3</w:t>
            </w:r>
          </w:p>
        </w:tc>
        <w:tc>
          <w:tcPr>
            <w:tcW w:type="dxa" w:w="1440"/>
          </w:tcPr>
          <w:p>
            <w:r>
              <w:t>000051 华夏沪深300ETF联接A</w:t>
            </w:r>
          </w:p>
        </w:tc>
        <w:tc>
          <w:tcPr>
            <w:tcW w:type="dxa" w:w="1440"/>
          </w:tcPr>
          <w:p>
            <w:r>
              <w:t>58.40</w:t>
            </w:r>
          </w:p>
        </w:tc>
        <w:tc>
          <w:tcPr>
            <w:tcW w:type="dxa" w:w="1440"/>
          </w:tcPr>
          <w:p>
            <w:r>
              <w:t>0.18%</w:t>
            </w:r>
          </w:p>
        </w:tc>
        <w:tc>
          <w:tcPr>
            <w:tcW w:type="dxa" w:w="1440"/>
          </w:tcPr>
          <w:p>
            <w:r>
              <w:t>-40.32%</w:t>
            </w:r>
          </w:p>
        </w:tc>
        <w:tc>
          <w:tcPr>
            <w:tcW w:type="dxa" w:w="1440"/>
          </w:tcPr>
          <w:p>
            <w:r>
              <w:t>-0.105</w:t>
            </w:r>
          </w:p>
        </w:tc>
      </w:tr>
      <w:tr>
        <w:tc>
          <w:tcPr>
            <w:tcW w:type="dxa" w:w="1440"/>
          </w:tcPr>
          <w:p>
            <w:r>
              <w:t>4</w:t>
            </w:r>
          </w:p>
        </w:tc>
        <w:tc>
          <w:tcPr>
            <w:tcW w:type="dxa" w:w="1440"/>
          </w:tcPr>
          <w:p>
            <w:r>
              <w:t>005918 天弘沪深300ETF联接C</w:t>
            </w:r>
          </w:p>
        </w:tc>
        <w:tc>
          <w:tcPr>
            <w:tcW w:type="dxa" w:w="1440"/>
          </w:tcPr>
          <w:p>
            <w:r>
              <w:t>49.22</w:t>
            </w:r>
          </w:p>
        </w:tc>
        <w:tc>
          <w:tcPr>
            <w:tcW w:type="dxa" w:w="1440"/>
          </w:tcPr>
          <w:p>
            <w:r>
              <w:t>0.14%</w:t>
            </w:r>
          </w:p>
        </w:tc>
        <w:tc>
          <w:tcPr>
            <w:tcW w:type="dxa" w:w="1440"/>
          </w:tcPr>
          <w:p>
            <w:r>
              <w:t>-40.21%</w:t>
            </w:r>
          </w:p>
        </w:tc>
        <w:tc>
          <w:tcPr>
            <w:tcW w:type="dxa" w:w="1440"/>
          </w:tcPr>
          <w:p>
            <w:r>
              <w:t>-0.109</w:t>
            </w:r>
          </w:p>
        </w:tc>
      </w:tr>
      <w:tr>
        <w:tc>
          <w:tcPr>
            <w:tcW w:type="dxa" w:w="1440"/>
          </w:tcPr>
          <w:p>
            <w:r>
              <w:t>5</w:t>
            </w:r>
          </w:p>
        </w:tc>
        <w:tc>
          <w:tcPr>
            <w:tcW w:type="dxa" w:w="1440"/>
          </w:tcPr>
          <w:p>
            <w:r>
              <w:t>000071 华夏恒生ETF联接A</w:t>
            </w:r>
          </w:p>
        </w:tc>
        <w:tc>
          <w:tcPr>
            <w:tcW w:type="dxa" w:w="1440"/>
          </w:tcPr>
          <w:p>
            <w:r>
              <w:t>20.00</w:t>
            </w:r>
          </w:p>
        </w:tc>
        <w:tc>
          <w:tcPr>
            <w:tcW w:type="dxa" w:w="1440"/>
          </w:tcPr>
          <w:p>
            <w:r>
              <w:t>-0.47%</w:t>
            </w:r>
          </w:p>
        </w:tc>
        <w:tc>
          <w:tcPr>
            <w:tcW w:type="dxa" w:w="1440"/>
          </w:tcPr>
          <w:p>
            <w:r>
              <w:t>-45.22%</w:t>
            </w:r>
          </w:p>
        </w:tc>
        <w:tc>
          <w:tcPr>
            <w:tcW w:type="dxa" w:w="1440"/>
          </w:tcPr>
          <w:p>
            <w:r>
              <w:t>-0.110</w:t>
            </w:r>
          </w:p>
        </w:tc>
      </w:tr>
    </w:tbl>
    <w:p>
      <w:pPr>
        <w:pStyle w:val="Heading2"/>
      </w:pPr>
      <w:r>
        <w:t>使用边界</w:t>
      </w:r>
    </w:p>
    <w:p>
      <w:r>
        <w:t>该机器学习模块不构成未来收益预测承诺，也不输出买入、持有或卖出指令。训练样本来自历史窗口，可能受市场阶段、样本数量和基金池结构影响。应将 ML 辅助排名与原始多因子排名、LIME 局部解释、Walk-Forward 验证和风险提示一起使用。</w:t>
      </w:r>
    </w:p>
    <w:p>
      <w:r>
        <w:br w:type="page"/>
      </w:r>
    </w:p>
    <w:p>
      <w:pPr>
        <w:pStyle w:val="Heading1"/>
      </w:pPr>
      <w:r>
        <w:t>模型效果评估</w:t>
      </w:r>
    </w:p>
    <w:p>
      <w:pPr>
        <w:pStyle w:val="Heading1"/>
      </w:pPr>
      <w:r>
        <w:t>模型效果评估</w:t>
      </w:r>
    </w:p>
    <w:p>
      <w:pPr>
        <w:pStyle w:val="Heading2"/>
      </w:pPr>
      <w:r>
        <w:t>定位</w:t>
      </w:r>
    </w:p>
    <w:p>
      <w:r>
        <w:t>本页不只展示 ML 权重，而是检查 ML 辅助模型在滚动历史窗口中是否相对原始画像权重带来更好的样本外区分能力。</w:t>
      </w:r>
    </w:p>
    <w:p>
      <w:pPr>
        <w:pStyle w:val="Heading2"/>
      </w:pPr>
      <w:r>
        <w:t>总览</w:t>
      </w:r>
    </w:p>
    <w:p>
      <w:pPr>
        <w:pStyle w:val="ListBullet"/>
      </w:pPr>
      <w:r>
        <w:t>有效评估窗口：17</w:t>
      </w:r>
    </w:p>
    <w:p>
      <w:pPr>
        <w:pStyle w:val="ListBullet"/>
      </w:pPr>
      <w:r>
        <w:t>基金级样本数：85</w:t>
      </w:r>
    </w:p>
    <w:p>
      <w:pPr>
        <w:pStyle w:val="ListBullet"/>
      </w:pPr>
      <w:r>
        <w:t>原始权重平均 Rank IC：0.050</w:t>
      </w:r>
    </w:p>
    <w:p>
      <w:pPr>
        <w:pStyle w:val="ListBullet"/>
      </w:pPr>
      <w:r>
        <w:t>ML 权重平均 Rank IC：0.000</w:t>
      </w:r>
    </w:p>
    <w:p>
      <w:pPr>
        <w:pStyle w:val="ListBullet"/>
      </w:pPr>
      <w:r>
        <w:t>平均 Top 命中率提升：-5.9%</w:t>
      </w:r>
    </w:p>
    <w:p>
      <w:pPr>
        <w:pStyle w:val="ListBullet"/>
      </w:pPr>
      <w:r>
        <w:t>平均 Top 组合收益提升：-1.27%</w:t>
      </w:r>
    </w:p>
    <w:p>
      <w:pPr>
        <w:pStyle w:val="ListBullet"/>
      </w:pPr>
      <w:r>
        <w:t>ML 收益优于 Base 的窗口数：1 / 17</w:t>
      </w:r>
    </w:p>
    <w:p>
      <w:pPr>
        <w:pStyle w:val="Heading2"/>
      </w:pPr>
      <w:r>
        <w:t>最近评估窗口</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窗口</w:t>
            </w:r>
          </w:p>
        </w:tc>
        <w:tc>
          <w:tcPr>
            <w:tcW w:type="dxa" w:w="1234"/>
          </w:tcPr>
          <w:p>
            <w:r>
              <w:rPr>
                <w:b/>
              </w:rPr>
              <w:t>持有期</w:t>
            </w:r>
          </w:p>
        </w:tc>
        <w:tc>
          <w:tcPr>
            <w:tcW w:type="dxa" w:w="1234"/>
          </w:tcPr>
          <w:p>
            <w:r>
              <w:rPr>
                <w:b/>
              </w:rPr>
              <w:t>Base Rank IC</w:t>
            </w:r>
          </w:p>
        </w:tc>
        <w:tc>
          <w:tcPr>
            <w:tcW w:type="dxa" w:w="1234"/>
          </w:tcPr>
          <w:p>
            <w:r>
              <w:rPr>
                <w:b/>
              </w:rPr>
              <w:t>ML Rank IC</w:t>
            </w:r>
          </w:p>
        </w:tc>
        <w:tc>
          <w:tcPr>
            <w:tcW w:type="dxa" w:w="1234"/>
          </w:tcPr>
          <w:p>
            <w:r>
              <w:rPr>
                <w:b/>
              </w:rPr>
              <w:t>命中率提升</w:t>
            </w:r>
          </w:p>
        </w:tc>
        <w:tc>
          <w:tcPr>
            <w:tcW w:type="dxa" w:w="1234"/>
          </w:tcPr>
          <w:p>
            <w:r>
              <w:rPr>
                <w:b/>
              </w:rPr>
              <w:t>ML相对Base收益</w:t>
            </w:r>
          </w:p>
        </w:tc>
        <w:tc>
          <w:tcPr>
            <w:tcW w:type="dxa" w:w="1234"/>
          </w:tcPr>
          <w:p>
            <w:r>
              <w:rPr>
                <w:b/>
              </w:rPr>
              <w:t>结论</w:t>
            </w:r>
          </w:p>
        </w:tc>
      </w:tr>
      <w:tr>
        <w:tc>
          <w:tcPr>
            <w:tcW w:type="dxa" w:w="1234"/>
          </w:tcPr>
          <w:p>
            <w:r>
              <w:t>5</w:t>
            </w:r>
          </w:p>
        </w:tc>
        <w:tc>
          <w:tcPr>
            <w:tcW w:type="dxa" w:w="1234"/>
          </w:tcPr>
          <w:p>
            <w:r>
              <w:t>2023-05-09 ~ 2023-08-07</w:t>
            </w:r>
          </w:p>
        </w:tc>
        <w:tc>
          <w:tcPr>
            <w:tcW w:type="dxa" w:w="1234"/>
          </w:tcPr>
          <w:p>
            <w:r>
              <w:t>-0.700</w:t>
            </w:r>
          </w:p>
        </w:tc>
        <w:tc>
          <w:tcPr>
            <w:tcW w:type="dxa" w:w="1234"/>
          </w:tcPr>
          <w:p>
            <w:r>
              <w:t>-0.700</w:t>
            </w:r>
          </w:p>
        </w:tc>
        <w:tc>
          <w:tcPr>
            <w:tcW w:type="dxa" w:w="1234"/>
          </w:tcPr>
          <w:p>
            <w:r>
              <w:t>+0.0%</w:t>
            </w:r>
          </w:p>
        </w:tc>
        <w:tc>
          <w:tcPr>
            <w:tcW w:type="dxa" w:w="1234"/>
          </w:tcPr>
          <w:p>
            <w:r>
              <w:t>+0.00%</w:t>
            </w:r>
          </w:p>
        </w:tc>
        <w:tc>
          <w:tcPr>
            <w:tcW w:type="dxa" w:w="1234"/>
          </w:tcPr>
          <w:p>
            <w:r>
              <w:t>信号分化</w:t>
            </w:r>
          </w:p>
        </w:tc>
      </w:tr>
      <w:tr>
        <w:tc>
          <w:tcPr>
            <w:tcW w:type="dxa" w:w="1234"/>
          </w:tcPr>
          <w:p>
            <w:r>
              <w:t>6</w:t>
            </w:r>
          </w:p>
        </w:tc>
        <w:tc>
          <w:tcPr>
            <w:tcW w:type="dxa" w:w="1234"/>
          </w:tcPr>
          <w:p>
            <w:r>
              <w:t>2023-08-08 ~ 2023-11-10</w:t>
            </w:r>
          </w:p>
        </w:tc>
        <w:tc>
          <w:tcPr>
            <w:tcW w:type="dxa" w:w="1234"/>
          </w:tcPr>
          <w:p>
            <w:r>
              <w:t>0.500</w:t>
            </w:r>
          </w:p>
        </w:tc>
        <w:tc>
          <w:tcPr>
            <w:tcW w:type="dxa" w:w="1234"/>
          </w:tcPr>
          <w:p>
            <w:r>
              <w:t>0.500</w:t>
            </w:r>
          </w:p>
        </w:tc>
        <w:tc>
          <w:tcPr>
            <w:tcW w:type="dxa" w:w="1234"/>
          </w:tcPr>
          <w:p>
            <w:r>
              <w:t>+0.0%</w:t>
            </w:r>
          </w:p>
        </w:tc>
        <w:tc>
          <w:tcPr>
            <w:tcW w:type="dxa" w:w="1234"/>
          </w:tcPr>
          <w:p>
            <w:r>
              <w:t>+0.00%</w:t>
            </w:r>
          </w:p>
        </w:tc>
        <w:tc>
          <w:tcPr>
            <w:tcW w:type="dxa" w:w="1234"/>
          </w:tcPr>
          <w:p>
            <w:r>
              <w:t>信号分化</w:t>
            </w:r>
          </w:p>
        </w:tc>
      </w:tr>
      <w:tr>
        <w:tc>
          <w:tcPr>
            <w:tcW w:type="dxa" w:w="1234"/>
          </w:tcPr>
          <w:p>
            <w:r>
              <w:t>7</w:t>
            </w:r>
          </w:p>
        </w:tc>
        <w:tc>
          <w:tcPr>
            <w:tcW w:type="dxa" w:w="1234"/>
          </w:tcPr>
          <w:p>
            <w:r>
              <w:t>2023-11-13 ~ 2024-02-07</w:t>
            </w:r>
          </w:p>
        </w:tc>
        <w:tc>
          <w:tcPr>
            <w:tcW w:type="dxa" w:w="1234"/>
          </w:tcPr>
          <w:p>
            <w:r>
              <w:t>0.500</w:t>
            </w:r>
          </w:p>
        </w:tc>
        <w:tc>
          <w:tcPr>
            <w:tcW w:type="dxa" w:w="1234"/>
          </w:tcPr>
          <w:p>
            <w:r>
              <w:t>0.500</w:t>
            </w:r>
          </w:p>
        </w:tc>
        <w:tc>
          <w:tcPr>
            <w:tcW w:type="dxa" w:w="1234"/>
          </w:tcPr>
          <w:p>
            <w:r>
              <w:t>+0.0%</w:t>
            </w:r>
          </w:p>
        </w:tc>
        <w:tc>
          <w:tcPr>
            <w:tcW w:type="dxa" w:w="1234"/>
          </w:tcPr>
          <w:p>
            <w:r>
              <w:t>+0.00%</w:t>
            </w:r>
          </w:p>
        </w:tc>
        <w:tc>
          <w:tcPr>
            <w:tcW w:type="dxa" w:w="1234"/>
          </w:tcPr>
          <w:p>
            <w:r>
              <w:t>信号分化</w:t>
            </w:r>
          </w:p>
        </w:tc>
      </w:tr>
      <w:tr>
        <w:tc>
          <w:tcPr>
            <w:tcW w:type="dxa" w:w="1234"/>
          </w:tcPr>
          <w:p>
            <w:r>
              <w:t>8</w:t>
            </w:r>
          </w:p>
        </w:tc>
        <w:tc>
          <w:tcPr>
            <w:tcW w:type="dxa" w:w="1234"/>
          </w:tcPr>
          <w:p>
            <w:r>
              <w:t>2024-02-08 ~ 2024-05-21</w:t>
            </w:r>
          </w:p>
        </w:tc>
        <w:tc>
          <w:tcPr>
            <w:tcW w:type="dxa" w:w="1234"/>
          </w:tcPr>
          <w:p>
            <w:r>
              <w:t>0.800</w:t>
            </w:r>
          </w:p>
        </w:tc>
        <w:tc>
          <w:tcPr>
            <w:tcW w:type="dxa" w:w="1234"/>
          </w:tcPr>
          <w:p>
            <w:r>
              <w:t>0.600</w:t>
            </w:r>
          </w:p>
        </w:tc>
        <w:tc>
          <w:tcPr>
            <w:tcW w:type="dxa" w:w="1234"/>
          </w:tcPr>
          <w:p>
            <w:r>
              <w:t>+0.0%</w:t>
            </w:r>
          </w:p>
        </w:tc>
        <w:tc>
          <w:tcPr>
            <w:tcW w:type="dxa" w:w="1234"/>
          </w:tcPr>
          <w:p>
            <w:r>
              <w:t>+0.00%</w:t>
            </w:r>
          </w:p>
        </w:tc>
        <w:tc>
          <w:tcPr>
            <w:tcW w:type="dxa" w:w="1234"/>
          </w:tcPr>
          <w:p>
            <w:r>
              <w:t>信号分化</w:t>
            </w:r>
          </w:p>
        </w:tc>
      </w:tr>
      <w:tr>
        <w:tc>
          <w:tcPr>
            <w:tcW w:type="dxa" w:w="1234"/>
          </w:tcPr>
          <w:p>
            <w:r>
              <w:t>9</w:t>
            </w:r>
          </w:p>
        </w:tc>
        <w:tc>
          <w:tcPr>
            <w:tcW w:type="dxa" w:w="1234"/>
          </w:tcPr>
          <w:p>
            <w:r>
              <w:t>2024-05-22 ~ 2024-08-16</w:t>
            </w:r>
          </w:p>
        </w:tc>
        <w:tc>
          <w:tcPr>
            <w:tcW w:type="dxa" w:w="1234"/>
          </w:tcPr>
          <w:p>
            <w:r>
              <w:t>0.800</w:t>
            </w:r>
          </w:p>
        </w:tc>
        <w:tc>
          <w:tcPr>
            <w:tcW w:type="dxa" w:w="1234"/>
          </w:tcPr>
          <w:p>
            <w:r>
              <w:t>0.800</w:t>
            </w:r>
          </w:p>
        </w:tc>
        <w:tc>
          <w:tcPr>
            <w:tcW w:type="dxa" w:w="1234"/>
          </w:tcPr>
          <w:p>
            <w:r>
              <w:t>+0.0%</w:t>
            </w:r>
          </w:p>
        </w:tc>
        <w:tc>
          <w:tcPr>
            <w:tcW w:type="dxa" w:w="1234"/>
          </w:tcPr>
          <w:p>
            <w:r>
              <w:t>+0.00%</w:t>
            </w:r>
          </w:p>
        </w:tc>
        <w:tc>
          <w:tcPr>
            <w:tcW w:type="dxa" w:w="1234"/>
          </w:tcPr>
          <w:p>
            <w:r>
              <w:t>信号分化</w:t>
            </w:r>
          </w:p>
        </w:tc>
      </w:tr>
      <w:tr>
        <w:tc>
          <w:tcPr>
            <w:tcW w:type="dxa" w:w="1234"/>
          </w:tcPr>
          <w:p>
            <w:r>
              <w:t>10</w:t>
            </w:r>
          </w:p>
        </w:tc>
        <w:tc>
          <w:tcPr>
            <w:tcW w:type="dxa" w:w="1234"/>
          </w:tcPr>
          <w:p>
            <w:r>
              <w:t>2024-08-19 ~ 2024-11-22</w:t>
            </w:r>
          </w:p>
        </w:tc>
        <w:tc>
          <w:tcPr>
            <w:tcW w:type="dxa" w:w="1234"/>
          </w:tcPr>
          <w:p>
            <w:r>
              <w:t>-0.900</w:t>
            </w:r>
          </w:p>
        </w:tc>
        <w:tc>
          <w:tcPr>
            <w:tcW w:type="dxa" w:w="1234"/>
          </w:tcPr>
          <w:p>
            <w:r>
              <w:t>-1.000</w:t>
            </w:r>
          </w:p>
        </w:tc>
        <w:tc>
          <w:tcPr>
            <w:tcW w:type="dxa" w:w="1234"/>
          </w:tcPr>
          <w:p>
            <w:r>
              <w:t>+0.0%</w:t>
            </w:r>
          </w:p>
        </w:tc>
        <w:tc>
          <w:tcPr>
            <w:tcW w:type="dxa" w:w="1234"/>
          </w:tcPr>
          <w:p>
            <w:r>
              <w:t>-3.98%</w:t>
            </w:r>
          </w:p>
        </w:tc>
        <w:tc>
          <w:tcPr>
            <w:tcW w:type="dxa" w:w="1234"/>
          </w:tcPr>
          <w:p>
            <w:r>
              <w:t>ML未改善</w:t>
            </w:r>
          </w:p>
        </w:tc>
      </w:tr>
      <w:tr>
        <w:tc>
          <w:tcPr>
            <w:tcW w:type="dxa" w:w="1234"/>
          </w:tcPr>
          <w:p>
            <w:r>
              <w:t>11</w:t>
            </w:r>
          </w:p>
        </w:tc>
        <w:tc>
          <w:tcPr>
            <w:tcW w:type="dxa" w:w="1234"/>
          </w:tcPr>
          <w:p>
            <w:r>
              <w:t>2024-11-25 ~ 2025-02-28</w:t>
            </w:r>
          </w:p>
        </w:tc>
        <w:tc>
          <w:tcPr>
            <w:tcW w:type="dxa" w:w="1234"/>
          </w:tcPr>
          <w:p>
            <w:r>
              <w:t>0.000</w:t>
            </w:r>
          </w:p>
        </w:tc>
        <w:tc>
          <w:tcPr>
            <w:tcW w:type="dxa" w:w="1234"/>
          </w:tcPr>
          <w:p>
            <w:r>
              <w:t>-0.500</w:t>
            </w:r>
          </w:p>
        </w:tc>
        <w:tc>
          <w:tcPr>
            <w:tcW w:type="dxa" w:w="1234"/>
          </w:tcPr>
          <w:p>
            <w:r>
              <w:t>-100.0%</w:t>
            </w:r>
          </w:p>
        </w:tc>
        <w:tc>
          <w:tcPr>
            <w:tcW w:type="dxa" w:w="1234"/>
          </w:tcPr>
          <w:p>
            <w:r>
              <w:t>-17.61%</w:t>
            </w:r>
          </w:p>
        </w:tc>
        <w:tc>
          <w:tcPr>
            <w:tcW w:type="dxa" w:w="1234"/>
          </w:tcPr>
          <w:p>
            <w:r>
              <w:t>ML未改善</w:t>
            </w:r>
          </w:p>
        </w:tc>
      </w:tr>
      <w:tr>
        <w:tc>
          <w:tcPr>
            <w:tcW w:type="dxa" w:w="1234"/>
          </w:tcPr>
          <w:p>
            <w:r>
              <w:t>12</w:t>
            </w:r>
          </w:p>
        </w:tc>
        <w:tc>
          <w:tcPr>
            <w:tcW w:type="dxa" w:w="1234"/>
          </w:tcPr>
          <w:p>
            <w:r>
              <w:t>2025-03-03 ~ 2025-06-04</w:t>
            </w:r>
          </w:p>
        </w:tc>
        <w:tc>
          <w:tcPr>
            <w:tcW w:type="dxa" w:w="1234"/>
          </w:tcPr>
          <w:p>
            <w:r>
              <w:t>0.700</w:t>
            </w:r>
          </w:p>
        </w:tc>
        <w:tc>
          <w:tcPr>
            <w:tcW w:type="dxa" w:w="1234"/>
          </w:tcPr>
          <w:p>
            <w:r>
              <w:t>0.700</w:t>
            </w:r>
          </w:p>
        </w:tc>
        <w:tc>
          <w:tcPr>
            <w:tcW w:type="dxa" w:w="1234"/>
          </w:tcPr>
          <w:p>
            <w:r>
              <w:t>+0.0%</w:t>
            </w:r>
          </w:p>
        </w:tc>
        <w:tc>
          <w:tcPr>
            <w:tcW w:type="dxa" w:w="1234"/>
          </w:tcPr>
          <w:p>
            <w:r>
              <w:t>+0.00%</w:t>
            </w:r>
          </w:p>
        </w:tc>
        <w:tc>
          <w:tcPr>
            <w:tcW w:type="dxa" w:w="1234"/>
          </w:tcPr>
          <w:p>
            <w:r>
              <w:t>信号分化</w:t>
            </w:r>
          </w:p>
        </w:tc>
      </w:tr>
      <w:tr>
        <w:tc>
          <w:tcPr>
            <w:tcW w:type="dxa" w:w="1234"/>
          </w:tcPr>
          <w:p>
            <w:r>
              <w:t>13</w:t>
            </w:r>
          </w:p>
        </w:tc>
        <w:tc>
          <w:tcPr>
            <w:tcW w:type="dxa" w:w="1234"/>
          </w:tcPr>
          <w:p>
            <w:r>
              <w:t>2025-06-05 ~ 2025-09-01</w:t>
            </w:r>
          </w:p>
        </w:tc>
        <w:tc>
          <w:tcPr>
            <w:tcW w:type="dxa" w:w="1234"/>
          </w:tcPr>
          <w:p>
            <w:r>
              <w:t>-1.000</w:t>
            </w:r>
          </w:p>
        </w:tc>
        <w:tc>
          <w:tcPr>
            <w:tcW w:type="dxa" w:w="1234"/>
          </w:tcPr>
          <w:p>
            <w:r>
              <w:t>-1.000</w:t>
            </w:r>
          </w:p>
        </w:tc>
        <w:tc>
          <w:tcPr>
            <w:tcW w:type="dxa" w:w="1234"/>
          </w:tcPr>
          <w:p>
            <w:r>
              <w:t>+0.0%</w:t>
            </w:r>
          </w:p>
        </w:tc>
        <w:tc>
          <w:tcPr>
            <w:tcW w:type="dxa" w:w="1234"/>
          </w:tcPr>
          <w:p>
            <w:r>
              <w:t>+0.00%</w:t>
            </w:r>
          </w:p>
        </w:tc>
        <w:tc>
          <w:tcPr>
            <w:tcW w:type="dxa" w:w="1234"/>
          </w:tcPr>
          <w:p>
            <w:r>
              <w:t>信号分化</w:t>
            </w:r>
          </w:p>
        </w:tc>
      </w:tr>
      <w:tr>
        <w:tc>
          <w:tcPr>
            <w:tcW w:type="dxa" w:w="1234"/>
          </w:tcPr>
          <w:p>
            <w:r>
              <w:t>14</w:t>
            </w:r>
          </w:p>
        </w:tc>
        <w:tc>
          <w:tcPr>
            <w:tcW w:type="dxa" w:w="1234"/>
          </w:tcPr>
          <w:p>
            <w:r>
              <w:t>2025-09-02 ~ 2025-12-05</w:t>
            </w:r>
          </w:p>
        </w:tc>
        <w:tc>
          <w:tcPr>
            <w:tcW w:type="dxa" w:w="1234"/>
          </w:tcPr>
          <w:p>
            <w:r>
              <w:t>-0.700</w:t>
            </w:r>
          </w:p>
        </w:tc>
        <w:tc>
          <w:tcPr>
            <w:tcW w:type="dxa" w:w="1234"/>
          </w:tcPr>
          <w:p>
            <w:r>
              <w:t>-0.800</w:t>
            </w:r>
          </w:p>
        </w:tc>
        <w:tc>
          <w:tcPr>
            <w:tcW w:type="dxa" w:w="1234"/>
          </w:tcPr>
          <w:p>
            <w:r>
              <w:t>+0.0%</w:t>
            </w:r>
          </w:p>
        </w:tc>
        <w:tc>
          <w:tcPr>
            <w:tcW w:type="dxa" w:w="1234"/>
          </w:tcPr>
          <w:p>
            <w:r>
              <w:t>+0.00%</w:t>
            </w:r>
          </w:p>
        </w:tc>
        <w:tc>
          <w:tcPr>
            <w:tcW w:type="dxa" w:w="1234"/>
          </w:tcPr>
          <w:p>
            <w:r>
              <w:t>信号分化</w:t>
            </w:r>
          </w:p>
        </w:tc>
      </w:tr>
      <w:tr>
        <w:tc>
          <w:tcPr>
            <w:tcW w:type="dxa" w:w="1234"/>
          </w:tcPr>
          <w:p>
            <w:r>
              <w:t>15</w:t>
            </w:r>
          </w:p>
        </w:tc>
        <w:tc>
          <w:tcPr>
            <w:tcW w:type="dxa" w:w="1234"/>
          </w:tcPr>
          <w:p>
            <w:r>
              <w:t>2025-12-08 ~ 2026-03-16</w:t>
            </w:r>
          </w:p>
        </w:tc>
        <w:tc>
          <w:tcPr>
            <w:tcW w:type="dxa" w:w="1234"/>
          </w:tcPr>
          <w:p>
            <w:r>
              <w:t>-0.051</w:t>
            </w:r>
          </w:p>
        </w:tc>
        <w:tc>
          <w:tcPr>
            <w:tcW w:type="dxa" w:w="1234"/>
          </w:tcPr>
          <w:p>
            <w:r>
              <w:t>-0.100</w:t>
            </w:r>
          </w:p>
        </w:tc>
        <w:tc>
          <w:tcPr>
            <w:tcW w:type="dxa" w:w="1234"/>
          </w:tcPr>
          <w:p>
            <w:r>
              <w:t>+0.0%</w:t>
            </w:r>
          </w:p>
        </w:tc>
        <w:tc>
          <w:tcPr>
            <w:tcW w:type="dxa" w:w="1234"/>
          </w:tcPr>
          <w:p>
            <w:r>
              <w:t>+0.00%</w:t>
            </w:r>
          </w:p>
        </w:tc>
        <w:tc>
          <w:tcPr>
            <w:tcW w:type="dxa" w:w="1234"/>
          </w:tcPr>
          <w:p>
            <w:r>
              <w:t>ML改善</w:t>
            </w:r>
          </w:p>
        </w:tc>
      </w:tr>
      <w:tr>
        <w:tc>
          <w:tcPr>
            <w:tcW w:type="dxa" w:w="1234"/>
          </w:tcPr>
          <w:p>
            <w:r>
              <w:t>16</w:t>
            </w:r>
          </w:p>
        </w:tc>
        <w:tc>
          <w:tcPr>
            <w:tcW w:type="dxa" w:w="1234"/>
          </w:tcPr>
          <w:p>
            <w:r>
              <w:t>2026-03-17 ~ 2026-06-17</w:t>
            </w:r>
          </w:p>
        </w:tc>
        <w:tc>
          <w:tcPr>
            <w:tcW w:type="dxa" w:w="1234"/>
          </w:tcPr>
          <w:p>
            <w:r>
              <w:t>0.800</w:t>
            </w:r>
          </w:p>
        </w:tc>
        <w:tc>
          <w:tcPr>
            <w:tcW w:type="dxa" w:w="1234"/>
          </w:tcPr>
          <w:p>
            <w:r>
              <w:t>0.800</w:t>
            </w:r>
          </w:p>
        </w:tc>
        <w:tc>
          <w:tcPr>
            <w:tcW w:type="dxa" w:w="1234"/>
          </w:tcPr>
          <w:p>
            <w:r>
              <w:t>+0.0%</w:t>
            </w:r>
          </w:p>
        </w:tc>
        <w:tc>
          <w:tcPr>
            <w:tcW w:type="dxa" w:w="1234"/>
          </w:tcPr>
          <w:p>
            <w:r>
              <w:t>+0.00%</w:t>
            </w:r>
          </w:p>
        </w:tc>
        <w:tc>
          <w:tcPr>
            <w:tcW w:type="dxa" w:w="1234"/>
          </w:tcPr>
          <w:p>
            <w:r>
              <w:t>信号分化</w:t>
            </w:r>
          </w:p>
        </w:tc>
      </w:tr>
    </w:tbl>
    <w:p>
      <w:pPr>
        <w:pStyle w:val="Heading2"/>
      </w:pPr>
      <w:r>
        <w:t>使用边界</w:t>
      </w:r>
    </w:p>
    <w:p>
      <w:r>
        <w:t>Rank IC、Top 命中率和收益提升用于衡量历史样本外区分能力，不代表未来收益承诺。若评估窗口较少或提升不稳定，应把 ML 结果作为辅助参考，而不是替代原始多因子模型。</w:t>
      </w:r>
    </w:p>
    <w:p>
      <w:r>
        <w:br w:type="page"/>
      </w:r>
    </w:p>
    <w:p>
      <w:pPr>
        <w:pStyle w:val="Heading1"/>
      </w:pPr>
      <w:r>
        <w:t>原始排名 vs ML 排名对比</w:t>
      </w:r>
    </w:p>
    <w:p>
      <w:pPr>
        <w:pStyle w:val="Heading1"/>
      </w:pPr>
      <w:r>
        <w:t>原始排名 vs ML 排名对比</w:t>
      </w:r>
    </w:p>
    <w:p>
      <w:r>
        <w:t>本报告比较当前投资者画像的人工权重排名与机器学习辅助排名。排名变化 为正表示该基金在 ML 辅助排名中上升，为负表示下降。</w:t>
      </w:r>
    </w:p>
    <w:p>
      <w:pPr>
        <w:pStyle w:val="Heading2"/>
      </w:pPr>
      <w:r>
        <w:t>Top 10 对比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基金</w:t>
            </w:r>
          </w:p>
        </w:tc>
        <w:tc>
          <w:tcPr>
            <w:tcW w:type="dxa" w:w="1234"/>
          </w:tcPr>
          <w:p>
            <w:r>
              <w:rPr>
                <w:b/>
              </w:rPr>
              <w:t>原始排名</w:t>
            </w:r>
          </w:p>
        </w:tc>
        <w:tc>
          <w:tcPr>
            <w:tcW w:type="dxa" w:w="1234"/>
          </w:tcPr>
          <w:p>
            <w:r>
              <w:rPr>
                <w:b/>
              </w:rPr>
              <w:t>ML排名</w:t>
            </w:r>
          </w:p>
        </w:tc>
        <w:tc>
          <w:tcPr>
            <w:tcW w:type="dxa" w:w="1234"/>
          </w:tcPr>
          <w:p>
            <w:r>
              <w:rPr>
                <w:b/>
              </w:rPr>
              <w:t>排名变化</w:t>
            </w:r>
          </w:p>
        </w:tc>
        <w:tc>
          <w:tcPr>
            <w:tcW w:type="dxa" w:w="1234"/>
          </w:tcPr>
          <w:p>
            <w:r>
              <w:rPr>
                <w:b/>
              </w:rPr>
              <w:t>原始评分</w:t>
            </w:r>
          </w:p>
        </w:tc>
        <w:tc>
          <w:tcPr>
            <w:tcW w:type="dxa" w:w="1234"/>
          </w:tcPr>
          <w:p>
            <w:r>
              <w:rPr>
                <w:b/>
              </w:rPr>
              <w:t>ML评分</w:t>
            </w:r>
          </w:p>
        </w:tc>
        <w:tc>
          <w:tcPr>
            <w:tcW w:type="dxa" w:w="1234"/>
          </w:tcPr>
          <w:p>
            <w:r>
              <w:rPr>
                <w:b/>
              </w:rPr>
              <w:t>说明</w:t>
            </w:r>
          </w:p>
        </w:tc>
      </w:tr>
      <w:tr>
        <w:tc>
          <w:tcPr>
            <w:tcW w:type="dxa" w:w="1234"/>
          </w:tcPr>
          <w:p>
            <w:r>
              <w:t>001052 华夏中证500ETF联接A</w:t>
            </w:r>
          </w:p>
        </w:tc>
        <w:tc>
          <w:tcPr>
            <w:tcW w:type="dxa" w:w="1234"/>
          </w:tcPr>
          <w:p>
            <w:r>
              <w:t>1</w:t>
            </w:r>
          </w:p>
        </w:tc>
        <w:tc>
          <w:tcPr>
            <w:tcW w:type="dxa" w:w="1234"/>
          </w:tcPr>
          <w:p>
            <w:r>
              <w:t>1</w:t>
            </w:r>
          </w:p>
        </w:tc>
        <w:tc>
          <w:tcPr>
            <w:tcW w:type="dxa" w:w="1234"/>
          </w:tcPr>
          <w:p>
            <w:r>
              <w:t>+0</w:t>
            </w:r>
          </w:p>
        </w:tc>
        <w:tc>
          <w:tcPr>
            <w:tcW w:type="dxa" w:w="1234"/>
          </w:tcPr>
          <w:p>
            <w:r>
              <w:t>94.00</w:t>
            </w:r>
          </w:p>
        </w:tc>
        <w:tc>
          <w:tcPr>
            <w:tcW w:type="dxa" w:w="1234"/>
          </w:tcPr>
          <w:p>
            <w:r>
              <w:t>88.57</w:t>
            </w:r>
          </w:p>
        </w:tc>
        <w:tc>
          <w:tcPr>
            <w:tcW w:type="dxa" w:w="1234"/>
          </w:tcPr>
          <w:p>
            <w:r>
              <w:t>ML 辅助模型更看重 calmar、sharpe，该基金排名基本保持不变。</w:t>
            </w:r>
          </w:p>
        </w:tc>
      </w:tr>
      <w:tr>
        <w:tc>
          <w:tcPr>
            <w:tcW w:type="dxa" w:w="1234"/>
          </w:tcPr>
          <w:p>
            <w:r>
              <w:t>110020 易方达沪深300ETF联接A</w:t>
            </w:r>
          </w:p>
        </w:tc>
        <w:tc>
          <w:tcPr>
            <w:tcW w:type="dxa" w:w="1234"/>
          </w:tcPr>
          <w:p>
            <w:r>
              <w:t>2</w:t>
            </w:r>
          </w:p>
        </w:tc>
        <w:tc>
          <w:tcPr>
            <w:tcW w:type="dxa" w:w="1234"/>
          </w:tcPr>
          <w:p>
            <w:r>
              <w:t>2</w:t>
            </w:r>
          </w:p>
        </w:tc>
        <w:tc>
          <w:tcPr>
            <w:tcW w:type="dxa" w:w="1234"/>
          </w:tcPr>
          <w:p>
            <w:r>
              <w:t>+0</w:t>
            </w:r>
          </w:p>
        </w:tc>
        <w:tc>
          <w:tcPr>
            <w:tcW w:type="dxa" w:w="1234"/>
          </w:tcPr>
          <w:p>
            <w:r>
              <w:t>82.00</w:t>
            </w:r>
          </w:p>
        </w:tc>
        <w:tc>
          <w:tcPr>
            <w:tcW w:type="dxa" w:w="1234"/>
          </w:tcPr>
          <w:p>
            <w:r>
              <w:t>83.81</w:t>
            </w:r>
          </w:p>
        </w:tc>
        <w:tc>
          <w:tcPr>
            <w:tcW w:type="dxa" w:w="1234"/>
          </w:tcPr>
          <w:p>
            <w:r>
              <w:t>ML 辅助模型更看重 calmar、sharpe，该基金排名基本保持不变。</w:t>
            </w:r>
          </w:p>
        </w:tc>
      </w:tr>
      <w:tr>
        <w:tc>
          <w:tcPr>
            <w:tcW w:type="dxa" w:w="1234"/>
          </w:tcPr>
          <w:p>
            <w:r>
              <w:t>000051 华夏沪深300ETF联接A</w:t>
            </w:r>
          </w:p>
        </w:tc>
        <w:tc>
          <w:tcPr>
            <w:tcW w:type="dxa" w:w="1234"/>
          </w:tcPr>
          <w:p>
            <w:r>
              <w:t>3</w:t>
            </w:r>
          </w:p>
        </w:tc>
        <w:tc>
          <w:tcPr>
            <w:tcW w:type="dxa" w:w="1234"/>
          </w:tcPr>
          <w:p>
            <w:r>
              <w:t>3</w:t>
            </w:r>
          </w:p>
        </w:tc>
        <w:tc>
          <w:tcPr>
            <w:tcW w:type="dxa" w:w="1234"/>
          </w:tcPr>
          <w:p>
            <w:r>
              <w:t>+0</w:t>
            </w:r>
          </w:p>
        </w:tc>
        <w:tc>
          <w:tcPr>
            <w:tcW w:type="dxa" w:w="1234"/>
          </w:tcPr>
          <w:p>
            <w:r>
              <w:t>56.00</w:t>
            </w:r>
          </w:p>
        </w:tc>
        <w:tc>
          <w:tcPr>
            <w:tcW w:type="dxa" w:w="1234"/>
          </w:tcPr>
          <w:p>
            <w:r>
              <w:t>58.40</w:t>
            </w:r>
          </w:p>
        </w:tc>
        <w:tc>
          <w:tcPr>
            <w:tcW w:type="dxa" w:w="1234"/>
          </w:tcPr>
          <w:p>
            <w:r>
              <w:t>ML 辅助模型更看重 calmar、sharpe，该基金排名基本保持不变。</w:t>
            </w:r>
          </w:p>
        </w:tc>
      </w:tr>
      <w:tr>
        <w:tc>
          <w:tcPr>
            <w:tcW w:type="dxa" w:w="1234"/>
          </w:tcPr>
          <w:p>
            <w:r>
              <w:t>005918 天弘沪深300ETF联接C</w:t>
            </w:r>
          </w:p>
        </w:tc>
        <w:tc>
          <w:tcPr>
            <w:tcW w:type="dxa" w:w="1234"/>
          </w:tcPr>
          <w:p>
            <w:r>
              <w:t>4</w:t>
            </w:r>
          </w:p>
        </w:tc>
        <w:tc>
          <w:tcPr>
            <w:tcW w:type="dxa" w:w="1234"/>
          </w:tcPr>
          <w:p>
            <w:r>
              <w:t>4</w:t>
            </w:r>
          </w:p>
        </w:tc>
        <w:tc>
          <w:tcPr>
            <w:tcW w:type="dxa" w:w="1234"/>
          </w:tcPr>
          <w:p>
            <w:r>
              <w:t>+0</w:t>
            </w:r>
          </w:p>
        </w:tc>
        <w:tc>
          <w:tcPr>
            <w:tcW w:type="dxa" w:w="1234"/>
          </w:tcPr>
          <w:p>
            <w:r>
              <w:t>48.00</w:t>
            </w:r>
          </w:p>
        </w:tc>
        <w:tc>
          <w:tcPr>
            <w:tcW w:type="dxa" w:w="1234"/>
          </w:tcPr>
          <w:p>
            <w:r>
              <w:t>49.22</w:t>
            </w:r>
          </w:p>
        </w:tc>
        <w:tc>
          <w:tcPr>
            <w:tcW w:type="dxa" w:w="1234"/>
          </w:tcPr>
          <w:p>
            <w:r>
              <w:t>ML 辅助模型更看重 calmar、sharpe，该基金排名基本保持不变。</w:t>
            </w:r>
          </w:p>
        </w:tc>
      </w:tr>
      <w:tr>
        <w:tc>
          <w:tcPr>
            <w:tcW w:type="dxa" w:w="1234"/>
          </w:tcPr>
          <w:p>
            <w:r>
              <w:t>000071 华夏恒生ETF联接A</w:t>
            </w:r>
          </w:p>
        </w:tc>
        <w:tc>
          <w:tcPr>
            <w:tcW w:type="dxa" w:w="1234"/>
          </w:tcPr>
          <w:p>
            <w:r>
              <w:t>5</w:t>
            </w:r>
          </w:p>
        </w:tc>
        <w:tc>
          <w:tcPr>
            <w:tcW w:type="dxa" w:w="1234"/>
          </w:tcPr>
          <w:p>
            <w:r>
              <w:t>5</w:t>
            </w:r>
          </w:p>
        </w:tc>
        <w:tc>
          <w:tcPr>
            <w:tcW w:type="dxa" w:w="1234"/>
          </w:tcPr>
          <w:p>
            <w:r>
              <w:t>+0</w:t>
            </w:r>
          </w:p>
        </w:tc>
        <w:tc>
          <w:tcPr>
            <w:tcW w:type="dxa" w:w="1234"/>
          </w:tcPr>
          <w:p>
            <w:r>
              <w:t>20.00</w:t>
            </w:r>
          </w:p>
        </w:tc>
        <w:tc>
          <w:tcPr>
            <w:tcW w:type="dxa" w:w="1234"/>
          </w:tcPr>
          <w:p>
            <w:r>
              <w:t>20.00</w:t>
            </w:r>
          </w:p>
        </w:tc>
        <w:tc>
          <w:tcPr>
            <w:tcW w:type="dxa" w:w="1234"/>
          </w:tcPr>
          <w:p>
            <w:r>
              <w:t>ML 辅助模型更看重 calmar、sharpe，该基金排名基本保持不变。</w:t>
            </w:r>
          </w:p>
        </w:tc>
      </w:tr>
    </w:tbl>
    <w:p>
      <w:pPr>
        <w:pStyle w:val="Heading2"/>
      </w:pPr>
      <w:r>
        <w:t>解释边界</w:t>
      </w:r>
    </w:p>
    <w:p>
      <w:r>
        <w:t>ML 排名变化反映的是历史样本中学习到的因子权重变化，不代表未来收益承诺。排名变化较大的基金应结合原始指标、LIME 局部解释、数据质量和风险标签一起判断。</w:t>
      </w:r>
    </w:p>
    <w:p>
      <w:r>
        <w:br w:type="page"/>
      </w:r>
    </w:p>
    <w:p>
      <w:pPr>
        <w:pStyle w:val="Heading1"/>
      </w:pPr>
      <w:r>
        <w:t>策略回测基准对比</w:t>
      </w:r>
    </w:p>
    <w:p>
      <w:pPr>
        <w:pStyle w:val="Heading1"/>
      </w:pPr>
      <w:r>
        <w:t>策略回测基准对比</w:t>
      </w:r>
    </w:p>
    <w:p>
      <w:pPr>
        <w:pStyle w:val="Heading2"/>
      </w:pPr>
      <w:r>
        <w:t>定位</w:t>
      </w:r>
    </w:p>
    <w:p>
      <w:r>
        <w:t>本报告把静态基准、Walk-Forward、动态权重验证和组合再平衡回测放在同一张表中，帮助判断当前策略是否真的优于简单基准。</w:t>
      </w:r>
    </w:p>
    <w:p>
      <w:pPr>
        <w:pStyle w:val="Heading2"/>
      </w:pPr>
      <w:r>
        <w:t>最优风险调整策略</w:t>
      </w:r>
    </w:p>
    <w:p>
      <w:pPr>
        <w:pStyle w:val="ListBullet"/>
      </w:pPr>
      <w:r>
        <w:t>模块：组合再平衡回测</w:t>
      </w:r>
    </w:p>
    <w:p>
      <w:pPr>
        <w:pStyle w:val="ListBullet"/>
      </w:pPr>
      <w:r>
        <w:t>策略：Constrained Optimized Rebalance</w:t>
      </w:r>
    </w:p>
    <w:p>
      <w:pPr>
        <w:pStyle w:val="ListBullet"/>
      </w:pPr>
      <w:r>
        <w:t>对比基准：All Funds</w:t>
      </w:r>
    </w:p>
    <w:p>
      <w:pPr>
        <w:pStyle w:val="ListBullet"/>
      </w:pPr>
      <w:r>
        <w:t>年化收益差：-0.19%</w:t>
      </w:r>
    </w:p>
    <w:p>
      <w:pPr>
        <w:pStyle w:val="ListBullet"/>
      </w:pPr>
      <w:r>
        <w:t>Sharpe 差：-0.02</w:t>
      </w:r>
    </w:p>
    <w:p>
      <w:pPr>
        <w:pStyle w:val="ListBullet"/>
      </w:pPr>
      <w:r>
        <w:t>最大回撤改善：+0.22%</w:t>
      </w:r>
    </w:p>
    <w:p>
      <w:pPr>
        <w:pStyle w:val="Heading2"/>
      </w:pPr>
      <w:r>
        <w:t>全部策略对比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模块</w:t>
            </w:r>
          </w:p>
        </w:tc>
        <w:tc>
          <w:tcPr>
            <w:tcW w:type="dxa" w:w="1234"/>
          </w:tcPr>
          <w:p>
            <w:r>
              <w:rPr>
                <w:b/>
              </w:rPr>
              <w:t>策略</w:t>
            </w:r>
          </w:p>
        </w:tc>
        <w:tc>
          <w:tcPr>
            <w:tcW w:type="dxa" w:w="1234"/>
          </w:tcPr>
          <w:p>
            <w:r>
              <w:rPr>
                <w:b/>
              </w:rPr>
              <w:t>基准</w:t>
            </w:r>
          </w:p>
        </w:tc>
        <w:tc>
          <w:tcPr>
            <w:tcW w:type="dxa" w:w="1234"/>
          </w:tcPr>
          <w:p>
            <w:r>
              <w:rPr>
                <w:b/>
              </w:rPr>
              <w:t>年化收益差</w:t>
            </w:r>
          </w:p>
        </w:tc>
        <w:tc>
          <w:tcPr>
            <w:tcW w:type="dxa" w:w="1234"/>
          </w:tcPr>
          <w:p>
            <w:r>
              <w:rPr>
                <w:b/>
              </w:rPr>
              <w:t>Sharpe差</w:t>
            </w:r>
          </w:p>
        </w:tc>
        <w:tc>
          <w:tcPr>
            <w:tcW w:type="dxa" w:w="1234"/>
          </w:tcPr>
          <w:p>
            <w:r>
              <w:rPr>
                <w:b/>
              </w:rPr>
              <w:t>最大回撤差</w:t>
            </w:r>
          </w:p>
        </w:tc>
        <w:tc>
          <w:tcPr>
            <w:tcW w:type="dxa" w:w="1234"/>
          </w:tcPr>
          <w:p>
            <w:r>
              <w:rPr>
                <w:b/>
              </w:rPr>
              <w:t>结论</w:t>
            </w:r>
          </w:p>
        </w:tc>
      </w:tr>
      <w:tr>
        <w:tc>
          <w:tcPr>
            <w:tcW w:type="dxa" w:w="1234"/>
          </w:tcPr>
          <w:p>
            <w:r>
              <w:t>静态基准对比</w:t>
            </w:r>
          </w:p>
        </w:tc>
        <w:tc>
          <w:tcPr>
            <w:tcW w:type="dxa" w:w="1234"/>
          </w:tcPr>
          <w:p>
            <w:r>
              <w:t>原始TopN等权</w:t>
            </w:r>
          </w:p>
        </w:tc>
        <w:tc>
          <w:tcPr>
            <w:tcW w:type="dxa" w:w="1234"/>
          </w:tcPr>
          <w:p>
            <w:r>
              <w:t>基金池等权基准</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静态基准对比</w:t>
            </w:r>
          </w:p>
        </w:tc>
        <w:tc>
          <w:tcPr>
            <w:tcW w:type="dxa" w:w="1234"/>
          </w:tcPr>
          <w:p>
            <w:r>
              <w:t>动态权重TopN等权</w:t>
            </w:r>
          </w:p>
        </w:tc>
        <w:tc>
          <w:tcPr>
            <w:tcW w:type="dxa" w:w="1234"/>
          </w:tcPr>
          <w:p>
            <w:r>
              <w:t>基金池等权基准</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静态基准对比</w:t>
            </w:r>
          </w:p>
        </w:tc>
        <w:tc>
          <w:tcPr>
            <w:tcW w:type="dxa" w:w="1234"/>
          </w:tcPr>
          <w:p>
            <w:r>
              <w:t>ML TopN等权</w:t>
            </w:r>
          </w:p>
        </w:tc>
        <w:tc>
          <w:tcPr>
            <w:tcW w:type="dxa" w:w="1234"/>
          </w:tcPr>
          <w:p>
            <w:r>
              <w:t>基金池等权基准</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静态基准对比</w:t>
            </w:r>
          </w:p>
        </w:tc>
        <w:tc>
          <w:tcPr>
            <w:tcW w:type="dxa" w:w="1234"/>
          </w:tcPr>
          <w:p>
            <w:r>
              <w:t>基金池等权基准</w:t>
            </w:r>
          </w:p>
        </w:tc>
        <w:tc>
          <w:tcPr>
            <w:tcW w:type="dxa" w:w="1234"/>
          </w:tcPr>
          <w:p>
            <w:r>
              <w:t>基金池等权基准</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Walk-Forward</w:t>
            </w:r>
          </w:p>
        </w:tc>
        <w:tc>
          <w:tcPr>
            <w:tcW w:type="dxa" w:w="1234"/>
          </w:tcPr>
          <w:p>
            <w:r>
              <w:t>Top 10</w:t>
            </w:r>
          </w:p>
        </w:tc>
        <w:tc>
          <w:tcPr>
            <w:tcW w:type="dxa" w:w="1234"/>
          </w:tcPr>
          <w:p>
            <w:r>
              <w:t>All Funds</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Walk-Forward</w:t>
            </w:r>
          </w:p>
        </w:tc>
        <w:tc>
          <w:tcPr>
            <w:tcW w:type="dxa" w:w="1234"/>
          </w:tcPr>
          <w:p>
            <w:r>
              <w:t>Top 20%</w:t>
            </w:r>
          </w:p>
        </w:tc>
        <w:tc>
          <w:tcPr>
            <w:tcW w:type="dxa" w:w="1234"/>
          </w:tcPr>
          <w:p>
            <w:r>
              <w:t>All Funds</w:t>
            </w:r>
          </w:p>
        </w:tc>
        <w:tc>
          <w:tcPr>
            <w:tcW w:type="dxa" w:w="1234"/>
          </w:tcPr>
          <w:p>
            <w:r>
              <w:t>-0.59%</w:t>
            </w:r>
          </w:p>
        </w:tc>
        <w:tc>
          <w:tcPr>
            <w:tcW w:type="dxa" w:w="1234"/>
          </w:tcPr>
          <w:p>
            <w:r>
              <w:t>-0.06</w:t>
            </w:r>
          </w:p>
        </w:tc>
        <w:tc>
          <w:tcPr>
            <w:tcW w:type="dxa" w:w="1234"/>
          </w:tcPr>
          <w:p>
            <w:r>
              <w:t>-4.59%</w:t>
            </w:r>
          </w:p>
        </w:tc>
        <w:tc>
          <w:tcPr>
            <w:tcW w:type="dxa" w:w="1234"/>
          </w:tcPr>
          <w:p>
            <w:r>
              <w:t>弱于基准</w:t>
            </w:r>
          </w:p>
        </w:tc>
      </w:tr>
      <w:tr>
        <w:tc>
          <w:tcPr>
            <w:tcW w:type="dxa" w:w="1234"/>
          </w:tcPr>
          <w:p>
            <w:r>
              <w:t>Walk-Forward</w:t>
            </w:r>
          </w:p>
        </w:tc>
        <w:tc>
          <w:tcPr>
            <w:tcW w:type="dxa" w:w="1234"/>
          </w:tcPr>
          <w:p>
            <w:r>
              <w:t>All Funds</w:t>
            </w:r>
          </w:p>
        </w:tc>
        <w:tc>
          <w:tcPr>
            <w:tcW w:type="dxa" w:w="1234"/>
          </w:tcPr>
          <w:p>
            <w:r>
              <w:t>All Funds</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动态权重 Walk-Forward</w:t>
            </w:r>
          </w:p>
        </w:tc>
        <w:tc>
          <w:tcPr>
            <w:tcW w:type="dxa" w:w="1234"/>
          </w:tcPr>
          <w:p>
            <w:r>
              <w:t>Fixed TopN</w:t>
            </w:r>
          </w:p>
        </w:tc>
        <w:tc>
          <w:tcPr>
            <w:tcW w:type="dxa" w:w="1234"/>
          </w:tcPr>
          <w:p>
            <w:r>
              <w:t>All Funds</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动态权重 Walk-Forward</w:t>
            </w:r>
          </w:p>
        </w:tc>
        <w:tc>
          <w:tcPr>
            <w:tcW w:type="dxa" w:w="1234"/>
          </w:tcPr>
          <w:p>
            <w:r>
              <w:t>Adaptive TopN</w:t>
            </w:r>
          </w:p>
        </w:tc>
        <w:tc>
          <w:tcPr>
            <w:tcW w:type="dxa" w:w="1234"/>
          </w:tcPr>
          <w:p>
            <w:r>
              <w:t>All Funds</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动态权重 Walk-Forward</w:t>
            </w:r>
          </w:p>
        </w:tc>
        <w:tc>
          <w:tcPr>
            <w:tcW w:type="dxa" w:w="1234"/>
          </w:tcPr>
          <w:p>
            <w:r>
              <w:t>All Funds</w:t>
            </w:r>
          </w:p>
        </w:tc>
        <w:tc>
          <w:tcPr>
            <w:tcW w:type="dxa" w:w="1234"/>
          </w:tcPr>
          <w:p>
            <w:r>
              <w:t>All Funds</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组合再平衡回测</w:t>
            </w:r>
          </w:p>
        </w:tc>
        <w:tc>
          <w:tcPr>
            <w:tcW w:type="dxa" w:w="1234"/>
          </w:tcPr>
          <w:p>
            <w:r>
              <w:t>Fixed Rebalance</w:t>
            </w:r>
          </w:p>
        </w:tc>
        <w:tc>
          <w:tcPr>
            <w:tcW w:type="dxa" w:w="1234"/>
          </w:tcPr>
          <w:p>
            <w:r>
              <w:t>All Funds</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组合再平衡回测</w:t>
            </w:r>
          </w:p>
        </w:tc>
        <w:tc>
          <w:tcPr>
            <w:tcW w:type="dxa" w:w="1234"/>
          </w:tcPr>
          <w:p>
            <w:r>
              <w:t>Adaptive Rebalance</w:t>
            </w:r>
          </w:p>
        </w:tc>
        <w:tc>
          <w:tcPr>
            <w:tcW w:type="dxa" w:w="1234"/>
          </w:tcPr>
          <w:p>
            <w:r>
              <w:t>All Funds</w:t>
            </w:r>
          </w:p>
        </w:tc>
        <w:tc>
          <w:tcPr>
            <w:tcW w:type="dxa" w:w="1234"/>
          </w:tcPr>
          <w:p>
            <w:r>
              <w:t>+0.00%</w:t>
            </w:r>
          </w:p>
        </w:tc>
        <w:tc>
          <w:tcPr>
            <w:tcW w:type="dxa" w:w="1234"/>
          </w:tcPr>
          <w:p>
            <w:r>
              <w:t>+0.00</w:t>
            </w:r>
          </w:p>
        </w:tc>
        <w:tc>
          <w:tcPr>
            <w:tcW w:type="dxa" w:w="1234"/>
          </w:tcPr>
          <w:p>
            <w:r>
              <w:t>+0.00%</w:t>
            </w:r>
          </w:p>
        </w:tc>
        <w:tc>
          <w:tcPr>
            <w:tcW w:type="dxa" w:w="1234"/>
          </w:tcPr>
          <w:p>
            <w:r>
              <w:t>结果分化</w:t>
            </w:r>
          </w:p>
        </w:tc>
      </w:tr>
      <w:tr>
        <w:tc>
          <w:tcPr>
            <w:tcW w:type="dxa" w:w="1234"/>
          </w:tcPr>
          <w:p>
            <w:r>
              <w:t>组合再平衡回测</w:t>
            </w:r>
          </w:p>
        </w:tc>
        <w:tc>
          <w:tcPr>
            <w:tcW w:type="dxa" w:w="1234"/>
          </w:tcPr>
          <w:p>
            <w:r>
              <w:t>Constrained Optimized Rebalance</w:t>
            </w:r>
          </w:p>
        </w:tc>
        <w:tc>
          <w:tcPr>
            <w:tcW w:type="dxa" w:w="1234"/>
          </w:tcPr>
          <w:p>
            <w:r>
              <w:t>All Funds</w:t>
            </w:r>
          </w:p>
        </w:tc>
        <w:tc>
          <w:tcPr>
            <w:tcW w:type="dxa" w:w="1234"/>
          </w:tcPr>
          <w:p>
            <w:r>
              <w:t>-0.19%</w:t>
            </w:r>
          </w:p>
        </w:tc>
        <w:tc>
          <w:tcPr>
            <w:tcW w:type="dxa" w:w="1234"/>
          </w:tcPr>
          <w:p>
            <w:r>
              <w:t>-0.02</w:t>
            </w:r>
          </w:p>
        </w:tc>
        <w:tc>
          <w:tcPr>
            <w:tcW w:type="dxa" w:w="1234"/>
          </w:tcPr>
          <w:p>
            <w:r>
              <w:t>+0.22%</w:t>
            </w:r>
          </w:p>
        </w:tc>
        <w:tc>
          <w:tcPr>
            <w:tcW w:type="dxa" w:w="1234"/>
          </w:tcPr>
          <w:p>
            <w:r>
              <w:t>弱于基准</w:t>
            </w:r>
          </w:p>
        </w:tc>
      </w:tr>
      <w:tr>
        <w:tc>
          <w:tcPr>
            <w:tcW w:type="dxa" w:w="1234"/>
          </w:tcPr>
          <w:p>
            <w:r>
              <w:t>组合再平衡回测</w:t>
            </w:r>
          </w:p>
        </w:tc>
        <w:tc>
          <w:tcPr>
            <w:tcW w:type="dxa" w:w="1234"/>
          </w:tcPr>
          <w:p>
            <w:r>
              <w:t>Risk Parity Rebalance</w:t>
            </w:r>
          </w:p>
        </w:tc>
        <w:tc>
          <w:tcPr>
            <w:tcW w:type="dxa" w:w="1234"/>
          </w:tcPr>
          <w:p>
            <w:r>
              <w:t>All Funds</w:t>
            </w:r>
          </w:p>
        </w:tc>
        <w:tc>
          <w:tcPr>
            <w:tcW w:type="dxa" w:w="1234"/>
          </w:tcPr>
          <w:p>
            <w:r>
              <w:t>-0.86%</w:t>
            </w:r>
          </w:p>
        </w:tc>
        <w:tc>
          <w:tcPr>
            <w:tcW w:type="dxa" w:w="1234"/>
          </w:tcPr>
          <w:p>
            <w:r>
              <w:t>-0.04</w:t>
            </w:r>
          </w:p>
        </w:tc>
        <w:tc>
          <w:tcPr>
            <w:tcW w:type="dxa" w:w="1234"/>
          </w:tcPr>
          <w:p>
            <w:r>
              <w:t>-0.54%</w:t>
            </w:r>
          </w:p>
        </w:tc>
        <w:tc>
          <w:tcPr>
            <w:tcW w:type="dxa" w:w="1234"/>
          </w:tcPr>
          <w:p>
            <w:r>
              <w:t>弱于基准</w:t>
            </w:r>
          </w:p>
        </w:tc>
      </w:tr>
      <w:tr>
        <w:tc>
          <w:tcPr>
            <w:tcW w:type="dxa" w:w="1234"/>
          </w:tcPr>
          <w:p>
            <w:r>
              <w:t>组合再平衡回测</w:t>
            </w:r>
          </w:p>
        </w:tc>
        <w:tc>
          <w:tcPr>
            <w:tcW w:type="dxa" w:w="1234"/>
          </w:tcPr>
          <w:p>
            <w:r>
              <w:t>All Funds</w:t>
            </w:r>
          </w:p>
        </w:tc>
        <w:tc>
          <w:tcPr>
            <w:tcW w:type="dxa" w:w="1234"/>
          </w:tcPr>
          <w:p>
            <w:r>
              <w:t>All Funds</w:t>
            </w:r>
          </w:p>
        </w:tc>
        <w:tc>
          <w:tcPr>
            <w:tcW w:type="dxa" w:w="1234"/>
          </w:tcPr>
          <w:p>
            <w:r>
              <w:t>+0.00%</w:t>
            </w:r>
          </w:p>
        </w:tc>
        <w:tc>
          <w:tcPr>
            <w:tcW w:type="dxa" w:w="1234"/>
          </w:tcPr>
          <w:p>
            <w:r>
              <w:t>+0.00</w:t>
            </w:r>
          </w:p>
        </w:tc>
        <w:tc>
          <w:tcPr>
            <w:tcW w:type="dxa" w:w="1234"/>
          </w:tcPr>
          <w:p>
            <w:r>
              <w:t>+0.00%</w:t>
            </w:r>
          </w:p>
        </w:tc>
        <w:tc>
          <w:tcPr>
            <w:tcW w:type="dxa" w:w="1234"/>
          </w:tcPr>
          <w:p>
            <w:r>
              <w:t>结果分化</w:t>
            </w:r>
          </w:p>
        </w:tc>
      </w:tr>
    </w:tbl>
    <w:p>
      <w:pPr>
        <w:pStyle w:val="Heading2"/>
      </w:pPr>
      <w:r>
        <w:t>使用边界</w:t>
      </w:r>
    </w:p>
    <w:p>
      <w:r>
        <w:t>策略回测用于比较模型选择、动态权重和组合约束是否优于基金池等权或 All Funds 基准。它仍是历史回测，不代表未来收益，也未完整覆盖申购赎回限制、税费和真实交易冲击。</w:t>
      </w:r>
    </w:p>
    <w:p>
      <w:r>
        <w:br w:type="page"/>
      </w:r>
    </w:p>
    <w:p>
      <w:pPr>
        <w:pStyle w:val="Heading1"/>
      </w:pPr>
      <w:r>
        <w:t>数据质量诊断</w:t>
      </w:r>
    </w:p>
    <w:p>
      <w:pPr>
        <w:pStyle w:val="Heading1"/>
      </w:pPr>
      <w:r>
        <w:t>数据质量诊断</w:t>
      </w:r>
    </w:p>
    <w:p>
      <w:pPr>
        <w:pStyle w:val="Heading2"/>
      </w:pPr>
      <w:r>
        <w:t>定位</w:t>
      </w:r>
    </w:p>
    <w:p>
      <w:r>
        <w:t>本报告用于回答：本次基金池的数据是否足够稳定，排名、ML 训练和回测结果是否有可靠的数据基础。</w:t>
      </w:r>
    </w:p>
    <w:p>
      <w:pPr>
        <w:pStyle w:val="Heading2"/>
      </w:pPr>
      <w:r>
        <w:t>总览</w:t>
      </w:r>
    </w:p>
    <w:p>
      <w:pPr>
        <w:pStyle w:val="ListBullet"/>
      </w:pPr>
      <w:r>
        <w:t>基金数量：5</w:t>
      </w:r>
    </w:p>
    <w:p>
      <w:pPr>
        <w:pStyle w:val="ListBullet"/>
      </w:pPr>
      <w:r>
        <w:t>平均完整率：100.0%</w:t>
      </w:r>
    </w:p>
    <w:p>
      <w:pPr>
        <w:pStyle w:val="ListBullet"/>
      </w:pPr>
      <w:r>
        <w:t>平均质量分：99.2</w:t>
      </w:r>
    </w:p>
    <w:p>
      <w:pPr>
        <w:pStyle w:val="ListBullet"/>
      </w:pPr>
      <w:r>
        <w:t>需关注基金：0</w:t>
      </w:r>
    </w:p>
    <w:p>
      <w:pPr>
        <w:pStyle w:val="ListBullet"/>
      </w:pPr>
      <w:r>
        <w:t>需谨慎基金：0</w:t>
      </w:r>
    </w:p>
    <w:p>
      <w:pPr>
        <w:pStyle w:val="ListBullet"/>
      </w:pPr>
      <w:r>
        <w:t>单只基金最高异常跳变次数：1</w:t>
      </w:r>
    </w:p>
    <w:p>
      <w:pPr>
        <w:pStyle w:val="Heading2"/>
      </w:pPr>
      <w:r>
        <w:t>低质量优先检查清单</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基金</w:t>
            </w:r>
          </w:p>
        </w:tc>
        <w:tc>
          <w:tcPr>
            <w:tcW w:type="dxa" w:w="1080"/>
          </w:tcPr>
          <w:p>
            <w:r>
              <w:rPr>
                <w:b/>
              </w:rPr>
              <w:t>类型</w:t>
            </w:r>
          </w:p>
        </w:tc>
        <w:tc>
          <w:tcPr>
            <w:tcW w:type="dxa" w:w="1080"/>
          </w:tcPr>
          <w:p>
            <w:r>
              <w:rPr>
                <w:b/>
              </w:rPr>
              <w:t>完整率</w:t>
            </w:r>
          </w:p>
        </w:tc>
        <w:tc>
          <w:tcPr>
            <w:tcW w:type="dxa" w:w="1080"/>
          </w:tcPr>
          <w:p>
            <w:r>
              <w:rPr>
                <w:b/>
              </w:rPr>
              <w:t>缺失天数</w:t>
            </w:r>
          </w:p>
        </w:tc>
        <w:tc>
          <w:tcPr>
            <w:tcW w:type="dxa" w:w="1080"/>
          </w:tcPr>
          <w:p>
            <w:r>
              <w:rPr>
                <w:b/>
              </w:rPr>
              <w:t>最长断档</w:t>
            </w:r>
          </w:p>
        </w:tc>
        <w:tc>
          <w:tcPr>
            <w:tcW w:type="dxa" w:w="1080"/>
          </w:tcPr>
          <w:p>
            <w:r>
              <w:rPr>
                <w:b/>
              </w:rPr>
              <w:t>异常跳变</w:t>
            </w:r>
          </w:p>
        </w:tc>
        <w:tc>
          <w:tcPr>
            <w:tcW w:type="dxa" w:w="1080"/>
          </w:tcPr>
          <w:p>
            <w:r>
              <w:rPr>
                <w:b/>
              </w:rPr>
              <w:t>质量分</w:t>
            </w:r>
          </w:p>
        </w:tc>
        <w:tc>
          <w:tcPr>
            <w:tcW w:type="dxa" w:w="1080"/>
          </w:tcPr>
          <w:p>
            <w:r>
              <w:rPr>
                <w:b/>
              </w:rPr>
              <w:t>诊断</w:t>
            </w:r>
          </w:p>
        </w:tc>
      </w:tr>
      <w:tr>
        <w:tc>
          <w:tcPr>
            <w:tcW w:type="dxa" w:w="1080"/>
          </w:tcPr>
          <w:p>
            <w:r>
              <w:t>000071 华夏恒生ETF联接A</w:t>
            </w:r>
          </w:p>
        </w:tc>
        <w:tc>
          <w:tcPr>
            <w:tcW w:type="dxa" w:w="1080"/>
          </w:tcPr>
          <w:p>
            <w:r>
              <w:t>指数型</w:t>
            </w:r>
          </w:p>
        </w:tc>
        <w:tc>
          <w:tcPr>
            <w:tcW w:type="dxa" w:w="1080"/>
          </w:tcPr>
          <w:p>
            <w:r>
              <w:t>100.0%</w:t>
            </w:r>
          </w:p>
        </w:tc>
        <w:tc>
          <w:tcPr>
            <w:tcW w:type="dxa" w:w="1080"/>
          </w:tcPr>
          <w:p>
            <w:r>
              <w:t>0</w:t>
            </w:r>
          </w:p>
        </w:tc>
        <w:tc>
          <w:tcPr>
            <w:tcW w:type="dxa" w:w="1080"/>
          </w:tcPr>
          <w:p>
            <w:r>
              <w:t>11</w:t>
            </w:r>
          </w:p>
        </w:tc>
        <w:tc>
          <w:tcPr>
            <w:tcW w:type="dxa" w:w="1080"/>
          </w:tcPr>
          <w:p>
            <w:r>
              <w:t>1</w:t>
            </w:r>
          </w:p>
        </w:tc>
        <w:tc>
          <w:tcPr>
            <w:tcW w:type="dxa" w:w="1080"/>
          </w:tcPr>
          <w:p>
            <w:r>
              <w:t>96.0</w:t>
            </w:r>
          </w:p>
        </w:tc>
        <w:tc>
          <w:tcPr>
            <w:tcW w:type="dxa" w:w="1080"/>
          </w:tcPr>
          <w:p>
            <w:r>
              <w:t>异常跳变1次</w:t>
            </w:r>
          </w:p>
        </w:tc>
      </w:tr>
      <w:tr>
        <w:tc>
          <w:tcPr>
            <w:tcW w:type="dxa" w:w="1080"/>
          </w:tcPr>
          <w:p>
            <w:r>
              <w:t>000051 华夏沪深300ETF联接A</w:t>
            </w:r>
          </w:p>
        </w:tc>
        <w:tc>
          <w:tcPr>
            <w:tcW w:type="dxa" w:w="1080"/>
          </w:tcPr>
          <w:p>
            <w:r>
              <w:t>指数型</w:t>
            </w:r>
          </w:p>
        </w:tc>
        <w:tc>
          <w:tcPr>
            <w:tcW w:type="dxa" w:w="1080"/>
          </w:tcPr>
          <w:p>
            <w:r>
              <w:t>100.0%</w:t>
            </w:r>
          </w:p>
        </w:tc>
        <w:tc>
          <w:tcPr>
            <w:tcW w:type="dxa" w:w="1080"/>
          </w:tcPr>
          <w:p>
            <w:r>
              <w:t>0</w:t>
            </w:r>
          </w:p>
        </w:tc>
        <w:tc>
          <w:tcPr>
            <w:tcW w:type="dxa" w:w="1080"/>
          </w:tcPr>
          <w:p>
            <w:r>
              <w:t>11</w:t>
            </w:r>
          </w:p>
        </w:tc>
        <w:tc>
          <w:tcPr>
            <w:tcW w:type="dxa" w:w="1080"/>
          </w:tcPr>
          <w:p>
            <w:r>
              <w:t>0</w:t>
            </w:r>
          </w:p>
        </w:tc>
        <w:tc>
          <w:tcPr>
            <w:tcW w:type="dxa" w:w="1080"/>
          </w:tcPr>
          <w:p>
            <w:r>
              <w:t>100.0</w:t>
            </w:r>
          </w:p>
        </w:tc>
        <w:tc>
          <w:tcPr>
            <w:tcW w:type="dxa" w:w="1080"/>
          </w:tcPr>
          <w:p>
            <w:r>
              <w:t>质量正常</w:t>
            </w:r>
          </w:p>
        </w:tc>
      </w:tr>
      <w:tr>
        <w:tc>
          <w:tcPr>
            <w:tcW w:type="dxa" w:w="1080"/>
          </w:tcPr>
          <w:p>
            <w:r>
              <w:t>001052 华夏中证500ETF联接A</w:t>
            </w:r>
          </w:p>
        </w:tc>
        <w:tc>
          <w:tcPr>
            <w:tcW w:type="dxa" w:w="1080"/>
          </w:tcPr>
          <w:p>
            <w:r>
              <w:t>未分类</w:t>
            </w:r>
          </w:p>
        </w:tc>
        <w:tc>
          <w:tcPr>
            <w:tcW w:type="dxa" w:w="1080"/>
          </w:tcPr>
          <w:p>
            <w:r>
              <w:t>100.0%</w:t>
            </w:r>
          </w:p>
        </w:tc>
        <w:tc>
          <w:tcPr>
            <w:tcW w:type="dxa" w:w="1080"/>
          </w:tcPr>
          <w:p>
            <w:r>
              <w:t>0</w:t>
            </w:r>
          </w:p>
        </w:tc>
        <w:tc>
          <w:tcPr>
            <w:tcW w:type="dxa" w:w="1080"/>
          </w:tcPr>
          <w:p>
            <w:r>
              <w:t>11</w:t>
            </w:r>
          </w:p>
        </w:tc>
        <w:tc>
          <w:tcPr>
            <w:tcW w:type="dxa" w:w="1080"/>
          </w:tcPr>
          <w:p>
            <w:r>
              <w:t>0</w:t>
            </w:r>
          </w:p>
        </w:tc>
        <w:tc>
          <w:tcPr>
            <w:tcW w:type="dxa" w:w="1080"/>
          </w:tcPr>
          <w:p>
            <w:r>
              <w:t>100.0</w:t>
            </w:r>
          </w:p>
        </w:tc>
        <w:tc>
          <w:tcPr>
            <w:tcW w:type="dxa" w:w="1080"/>
          </w:tcPr>
          <w:p>
            <w:r>
              <w:t>质量正常</w:t>
            </w:r>
          </w:p>
        </w:tc>
      </w:tr>
      <w:tr>
        <w:tc>
          <w:tcPr>
            <w:tcW w:type="dxa" w:w="1080"/>
          </w:tcPr>
          <w:p>
            <w:r>
              <w:t>005918 天弘沪深300ETF联接C</w:t>
            </w:r>
          </w:p>
        </w:tc>
        <w:tc>
          <w:tcPr>
            <w:tcW w:type="dxa" w:w="1080"/>
          </w:tcPr>
          <w:p>
            <w:r>
              <w:t>指数型</w:t>
            </w:r>
          </w:p>
        </w:tc>
        <w:tc>
          <w:tcPr>
            <w:tcW w:type="dxa" w:w="1080"/>
          </w:tcPr>
          <w:p>
            <w:r>
              <w:t>100.0%</w:t>
            </w:r>
          </w:p>
        </w:tc>
        <w:tc>
          <w:tcPr>
            <w:tcW w:type="dxa" w:w="1080"/>
          </w:tcPr>
          <w:p>
            <w:r>
              <w:t>0</w:t>
            </w:r>
          </w:p>
        </w:tc>
        <w:tc>
          <w:tcPr>
            <w:tcW w:type="dxa" w:w="1080"/>
          </w:tcPr>
          <w:p>
            <w:r>
              <w:t>11</w:t>
            </w:r>
          </w:p>
        </w:tc>
        <w:tc>
          <w:tcPr>
            <w:tcW w:type="dxa" w:w="1080"/>
          </w:tcPr>
          <w:p>
            <w:r>
              <w:t>0</w:t>
            </w:r>
          </w:p>
        </w:tc>
        <w:tc>
          <w:tcPr>
            <w:tcW w:type="dxa" w:w="1080"/>
          </w:tcPr>
          <w:p>
            <w:r>
              <w:t>100.0</w:t>
            </w:r>
          </w:p>
        </w:tc>
        <w:tc>
          <w:tcPr>
            <w:tcW w:type="dxa" w:w="1080"/>
          </w:tcPr>
          <w:p>
            <w:r>
              <w:t>质量正常</w:t>
            </w:r>
          </w:p>
        </w:tc>
      </w:tr>
      <w:tr>
        <w:tc>
          <w:tcPr>
            <w:tcW w:type="dxa" w:w="1080"/>
          </w:tcPr>
          <w:p>
            <w:r>
              <w:t>110020 易方达沪深300ETF联接A</w:t>
            </w:r>
          </w:p>
        </w:tc>
        <w:tc>
          <w:tcPr>
            <w:tcW w:type="dxa" w:w="1080"/>
          </w:tcPr>
          <w:p>
            <w:r>
              <w:t>指数型</w:t>
            </w:r>
          </w:p>
        </w:tc>
        <w:tc>
          <w:tcPr>
            <w:tcW w:type="dxa" w:w="1080"/>
          </w:tcPr>
          <w:p>
            <w:r>
              <w:t>100.0%</w:t>
            </w:r>
          </w:p>
        </w:tc>
        <w:tc>
          <w:tcPr>
            <w:tcW w:type="dxa" w:w="1080"/>
          </w:tcPr>
          <w:p>
            <w:r>
              <w:t>0</w:t>
            </w:r>
          </w:p>
        </w:tc>
        <w:tc>
          <w:tcPr>
            <w:tcW w:type="dxa" w:w="1080"/>
          </w:tcPr>
          <w:p>
            <w:r>
              <w:t>11</w:t>
            </w:r>
          </w:p>
        </w:tc>
        <w:tc>
          <w:tcPr>
            <w:tcW w:type="dxa" w:w="1080"/>
          </w:tcPr>
          <w:p>
            <w:r>
              <w:t>0</w:t>
            </w:r>
          </w:p>
        </w:tc>
        <w:tc>
          <w:tcPr>
            <w:tcW w:type="dxa" w:w="1080"/>
          </w:tcPr>
          <w:p>
            <w:r>
              <w:t>100.0</w:t>
            </w:r>
          </w:p>
        </w:tc>
        <w:tc>
          <w:tcPr>
            <w:tcW w:type="dxa" w:w="1080"/>
          </w:tcPr>
          <w:p>
            <w:r>
              <w:t>质量正常</w:t>
            </w:r>
          </w:p>
        </w:tc>
      </w:tr>
    </w:tbl>
    <w:p>
      <w:pPr>
        <w:pStyle w:val="Heading2"/>
      </w:pPr>
      <w:r>
        <w:t>使用建议</w:t>
      </w:r>
    </w:p>
    <w:p>
      <w:pPr>
        <w:pStyle w:val="ListBullet"/>
      </w:pPr>
      <w:r>
        <w:t>质量正常：可以进入多因子评分、ML 辅助评分和回测。</w:t>
      </w:r>
    </w:p>
    <w:p>
      <w:pPr>
        <w:pStyle w:val="ListBullet"/>
      </w:pPr>
      <w:r>
        <w:t>关注：建议重点查看缺失、断档或净值跳变，必要时缩短比较窗口。</w:t>
      </w:r>
    </w:p>
    <w:p>
      <w:pPr>
        <w:pStyle w:val="ListBullet"/>
      </w:pPr>
      <w:r>
        <w:t>需谨慎：排名和回测可信度会明显下降，建议补齐数据或从基金池中剔除。</w:t>
      </w:r>
    </w:p>
    <w:p>
      <w:r>
        <w:br w:type="page"/>
      </w:r>
    </w:p>
    <w:p>
      <w:pPr>
        <w:pStyle w:val="Heading1"/>
      </w:pPr>
      <w:r>
        <w:t>基金池准入报告</w:t>
      </w:r>
    </w:p>
    <w:p>
      <w:pPr>
        <w:pStyle w:val="Heading1"/>
      </w:pPr>
      <w:r>
        <w:t>基金池准入报告</w:t>
      </w:r>
    </w:p>
    <w:p>
      <w:pPr>
        <w:pStyle w:val="Heading2"/>
      </w:pPr>
      <w:r>
        <w:t>准入规则</w:t>
      </w:r>
    </w:p>
    <w:p>
      <w:pPr>
        <w:pStyle w:val="ListBullet"/>
      </w:pPr>
      <w:r>
        <w:t>默认分析主动权益类基金，排除货币型、债券型、QDII 和明显不可比品类。</w:t>
      </w:r>
    </w:p>
    <w:p>
      <w:pPr>
        <w:pStyle w:val="ListBullet"/>
      </w:pPr>
      <w:r>
        <w:t>有效交易数据不少于 700 条。</w:t>
      </w:r>
    </w:p>
    <w:p>
      <w:pPr>
        <w:pStyle w:val="ListBullet"/>
      </w:pPr>
      <w:r>
        <w:t>净值完整率不低于 95%。</w:t>
      </w:r>
    </w:p>
    <w:p>
      <w:pPr>
        <w:pStyle w:val="ListBullet"/>
      </w:pPr>
      <w:r>
        <w:t>对 A/C 等重复份额默认保留一个代表份额。</w:t>
      </w:r>
    </w:p>
    <w:p>
      <w:pPr>
        <w:pStyle w:val="Heading2"/>
      </w:pPr>
      <w:r>
        <w:t>准入结果</w:t>
      </w:r>
    </w:p>
    <w:p>
      <w:pPr>
        <w:pStyle w:val="ListBullet"/>
      </w:pPr>
      <w:r>
        <w:t>总基金数：5</w:t>
      </w:r>
    </w:p>
    <w:p>
      <w:pPr>
        <w:pStyle w:val="ListBullet"/>
      </w:pPr>
      <w:r>
        <w:t>纳入分析：1</w:t>
      </w:r>
    </w:p>
    <w:p>
      <w:pPr>
        <w:pStyle w:val="ListBullet"/>
      </w:pPr>
      <w:r>
        <w:t>排除数量：4</w:t>
      </w:r>
    </w:p>
    <w:p>
      <w:pPr>
        <w:pStyle w:val="ListBullet"/>
      </w:pPr>
      <w:r>
        <w:t>平均质量分：99.2</w:t>
      </w:r>
    </w:p>
    <w:p>
      <w:pPr>
        <w:pStyle w:val="ListBullet"/>
      </w:pPr>
      <w:r>
        <w:t>质量提示数量：1</w:t>
      </w:r>
    </w:p>
    <w:p>
      <w:pPr>
        <w:pStyle w:val="Heading2"/>
      </w:pPr>
      <w:r>
        <w:t>类型分布</w:t>
      </w:r>
    </w:p>
    <w:p>
      <w:pPr>
        <w:pStyle w:val="ListBullet"/>
      </w:pPr>
      <w:r>
        <w:t>指数型: 4</w:t>
      </w:r>
    </w:p>
    <w:p>
      <w:pPr>
        <w:pStyle w:val="ListBullet"/>
      </w:pPr>
      <w:r>
        <w:t>未分类: 1</w:t>
      </w:r>
    </w:p>
    <w:p>
      <w:pPr>
        <w:pStyle w:val="Heading2"/>
      </w:pPr>
      <w:r>
        <w:t>排除样例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基金</w:t>
            </w:r>
          </w:p>
        </w:tc>
        <w:tc>
          <w:tcPr>
            <w:tcW w:type="dxa" w:w="2160"/>
          </w:tcPr>
          <w:p>
            <w:r>
              <w:rPr>
                <w:b/>
              </w:rPr>
              <w:t>类型</w:t>
            </w:r>
          </w:p>
        </w:tc>
        <w:tc>
          <w:tcPr>
            <w:tcW w:type="dxa" w:w="2160"/>
          </w:tcPr>
          <w:p>
            <w:r>
              <w:rPr>
                <w:b/>
              </w:rPr>
              <w:t>完整率</w:t>
            </w:r>
          </w:p>
        </w:tc>
        <w:tc>
          <w:tcPr>
            <w:tcW w:type="dxa" w:w="2160"/>
          </w:tcPr>
          <w:p>
            <w:r>
              <w:rPr>
                <w:b/>
              </w:rPr>
              <w:t>排除原因</w:t>
            </w:r>
          </w:p>
        </w:tc>
      </w:tr>
      <w:tr>
        <w:tc>
          <w:tcPr>
            <w:tcW w:type="dxa" w:w="2160"/>
          </w:tcPr>
          <w:p>
            <w:r>
              <w:t>000051 华夏沪深300ETF联接A</w:t>
            </w:r>
          </w:p>
        </w:tc>
        <w:tc>
          <w:tcPr>
            <w:tcW w:type="dxa" w:w="2160"/>
          </w:tcPr>
          <w:p>
            <w:r>
              <w:t>指数型</w:t>
            </w:r>
          </w:p>
        </w:tc>
        <w:tc>
          <w:tcPr>
            <w:tcW w:type="dxa" w:w="2160"/>
          </w:tcPr>
          <w:p>
            <w:r>
              <w:t>100.0%</w:t>
            </w:r>
          </w:p>
        </w:tc>
        <w:tc>
          <w:tcPr>
            <w:tcW w:type="dxa" w:w="2160"/>
          </w:tcPr>
          <w:p>
            <w:r>
              <w:t>类型不属于主动权益池：指数型</w:t>
            </w:r>
          </w:p>
        </w:tc>
      </w:tr>
      <w:tr>
        <w:tc>
          <w:tcPr>
            <w:tcW w:type="dxa" w:w="2160"/>
          </w:tcPr>
          <w:p>
            <w:r>
              <w:t>005918 天弘沪深300ETF联接C</w:t>
            </w:r>
          </w:p>
        </w:tc>
        <w:tc>
          <w:tcPr>
            <w:tcW w:type="dxa" w:w="2160"/>
          </w:tcPr>
          <w:p>
            <w:r>
              <w:t>指数型</w:t>
            </w:r>
          </w:p>
        </w:tc>
        <w:tc>
          <w:tcPr>
            <w:tcW w:type="dxa" w:w="2160"/>
          </w:tcPr>
          <w:p>
            <w:r>
              <w:t>100.0%</w:t>
            </w:r>
          </w:p>
        </w:tc>
        <w:tc>
          <w:tcPr>
            <w:tcW w:type="dxa" w:w="2160"/>
          </w:tcPr>
          <w:p>
            <w:r>
              <w:t>类型不属于主动权益池：指数型</w:t>
            </w:r>
          </w:p>
        </w:tc>
      </w:tr>
      <w:tr>
        <w:tc>
          <w:tcPr>
            <w:tcW w:type="dxa" w:w="2160"/>
          </w:tcPr>
          <w:p>
            <w:r>
              <w:t>110020 易方达沪深300ETF联接A</w:t>
            </w:r>
          </w:p>
        </w:tc>
        <w:tc>
          <w:tcPr>
            <w:tcW w:type="dxa" w:w="2160"/>
          </w:tcPr>
          <w:p>
            <w:r>
              <w:t>指数型</w:t>
            </w:r>
          </w:p>
        </w:tc>
        <w:tc>
          <w:tcPr>
            <w:tcW w:type="dxa" w:w="2160"/>
          </w:tcPr>
          <w:p>
            <w:r>
              <w:t>100.0%</w:t>
            </w:r>
          </w:p>
        </w:tc>
        <w:tc>
          <w:tcPr>
            <w:tcW w:type="dxa" w:w="2160"/>
          </w:tcPr>
          <w:p>
            <w:r>
              <w:t>类型不属于主动权益池：指数型</w:t>
            </w:r>
          </w:p>
        </w:tc>
      </w:tr>
      <w:tr>
        <w:tc>
          <w:tcPr>
            <w:tcW w:type="dxa" w:w="2160"/>
          </w:tcPr>
          <w:p>
            <w:r>
              <w:t>000071 华夏恒生ETF联接A</w:t>
            </w:r>
          </w:p>
        </w:tc>
        <w:tc>
          <w:tcPr>
            <w:tcW w:type="dxa" w:w="2160"/>
          </w:tcPr>
          <w:p>
            <w:r>
              <w:t>指数型</w:t>
            </w:r>
          </w:p>
        </w:tc>
        <w:tc>
          <w:tcPr>
            <w:tcW w:type="dxa" w:w="2160"/>
          </w:tcPr>
          <w:p>
            <w:r>
              <w:t>100.0%</w:t>
            </w:r>
          </w:p>
        </w:tc>
        <w:tc>
          <w:tcPr>
            <w:tcW w:type="dxa" w:w="2160"/>
          </w:tcPr>
          <w:p>
            <w:r>
              <w:t>类型不属于主动权益池：指数型</w:t>
            </w:r>
          </w:p>
        </w:tc>
      </w:tr>
    </w:tbl>
    <w:p>
      <w:pPr>
        <w:pStyle w:val="Heading2"/>
      </w:pPr>
      <w:r>
        <w:t>数据质量与重复产品提示</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基金</w:t>
            </w:r>
          </w:p>
        </w:tc>
        <w:tc>
          <w:tcPr>
            <w:tcW w:type="dxa" w:w="1440"/>
          </w:tcPr>
          <w:p>
            <w:r>
              <w:rPr>
                <w:b/>
              </w:rPr>
              <w:t>类型</w:t>
            </w:r>
          </w:p>
        </w:tc>
        <w:tc>
          <w:tcPr>
            <w:tcW w:type="dxa" w:w="1440"/>
          </w:tcPr>
          <w:p>
            <w:r>
              <w:rPr>
                <w:b/>
              </w:rPr>
              <w:t>完整率</w:t>
            </w:r>
          </w:p>
        </w:tc>
        <w:tc>
          <w:tcPr>
            <w:tcW w:type="dxa" w:w="1440"/>
          </w:tcPr>
          <w:p>
            <w:r>
              <w:rPr>
                <w:b/>
              </w:rPr>
              <w:t>异常跳变</w:t>
            </w:r>
          </w:p>
        </w:tc>
        <w:tc>
          <w:tcPr>
            <w:tcW w:type="dxa" w:w="1440"/>
          </w:tcPr>
          <w:p>
            <w:r>
              <w:rPr>
                <w:b/>
              </w:rPr>
              <w:t>质量分</w:t>
            </w:r>
          </w:p>
        </w:tc>
        <w:tc>
          <w:tcPr>
            <w:tcW w:type="dxa" w:w="1440"/>
          </w:tcPr>
          <w:p>
            <w:r>
              <w:rPr>
                <w:b/>
              </w:rPr>
              <w:t>质量提示</w:t>
            </w:r>
          </w:p>
        </w:tc>
      </w:tr>
      <w:tr>
        <w:tc>
          <w:tcPr>
            <w:tcW w:type="dxa" w:w="1440"/>
          </w:tcPr>
          <w:p>
            <w:r>
              <w:t>001052 华夏中证500ETF联接A</w:t>
            </w:r>
          </w:p>
        </w:tc>
        <w:tc>
          <w:tcPr>
            <w:tcW w:type="dxa" w:w="1440"/>
          </w:tcPr>
          <w:p>
            <w:r>
              <w:t>未分类</w:t>
            </w:r>
          </w:p>
        </w:tc>
        <w:tc>
          <w:tcPr>
            <w:tcW w:type="dxa" w:w="1440"/>
          </w:tcPr>
          <w:p>
            <w:r>
              <w:t>100.0%</w:t>
            </w:r>
          </w:p>
        </w:tc>
        <w:tc>
          <w:tcPr>
            <w:tcW w:type="dxa" w:w="1440"/>
          </w:tcPr>
          <w:p>
            <w:r>
              <w:t>0</w:t>
            </w:r>
          </w:p>
        </w:tc>
        <w:tc>
          <w:tcPr>
            <w:tcW w:type="dxa" w:w="1440"/>
          </w:tcPr>
          <w:p>
            <w:r>
              <w:t>100.0</w:t>
            </w:r>
          </w:p>
        </w:tc>
        <w:tc>
          <w:tcPr>
            <w:tcW w:type="dxa" w:w="1440"/>
          </w:tcPr>
          <w:p>
            <w:r>
              <w:t>质量正常</w:t>
            </w:r>
          </w:p>
        </w:tc>
      </w:tr>
      <w:tr>
        <w:tc>
          <w:tcPr>
            <w:tcW w:type="dxa" w:w="1440"/>
          </w:tcPr>
          <w:p>
            <w:r>
              <w:t>000051 华夏沪深300ETF联接A</w:t>
            </w:r>
          </w:p>
        </w:tc>
        <w:tc>
          <w:tcPr>
            <w:tcW w:type="dxa" w:w="1440"/>
          </w:tcPr>
          <w:p>
            <w:r>
              <w:t>指数型</w:t>
            </w:r>
          </w:p>
        </w:tc>
        <w:tc>
          <w:tcPr>
            <w:tcW w:type="dxa" w:w="1440"/>
          </w:tcPr>
          <w:p>
            <w:r>
              <w:t>100.0%</w:t>
            </w:r>
          </w:p>
        </w:tc>
        <w:tc>
          <w:tcPr>
            <w:tcW w:type="dxa" w:w="1440"/>
          </w:tcPr>
          <w:p>
            <w:r>
              <w:t>0</w:t>
            </w:r>
          </w:p>
        </w:tc>
        <w:tc>
          <w:tcPr>
            <w:tcW w:type="dxa" w:w="1440"/>
          </w:tcPr>
          <w:p>
            <w:r>
              <w:t>100.0</w:t>
            </w:r>
          </w:p>
        </w:tc>
        <w:tc>
          <w:tcPr>
            <w:tcW w:type="dxa" w:w="1440"/>
          </w:tcPr>
          <w:p>
            <w:r>
              <w:t>质量正常</w:t>
            </w:r>
          </w:p>
        </w:tc>
      </w:tr>
      <w:tr>
        <w:tc>
          <w:tcPr>
            <w:tcW w:type="dxa" w:w="1440"/>
          </w:tcPr>
          <w:p>
            <w:r>
              <w:t>005918 天弘沪深300ETF联接C</w:t>
            </w:r>
          </w:p>
        </w:tc>
        <w:tc>
          <w:tcPr>
            <w:tcW w:type="dxa" w:w="1440"/>
          </w:tcPr>
          <w:p>
            <w:r>
              <w:t>指数型</w:t>
            </w:r>
          </w:p>
        </w:tc>
        <w:tc>
          <w:tcPr>
            <w:tcW w:type="dxa" w:w="1440"/>
          </w:tcPr>
          <w:p>
            <w:r>
              <w:t>100.0%</w:t>
            </w:r>
          </w:p>
        </w:tc>
        <w:tc>
          <w:tcPr>
            <w:tcW w:type="dxa" w:w="1440"/>
          </w:tcPr>
          <w:p>
            <w:r>
              <w:t>0</w:t>
            </w:r>
          </w:p>
        </w:tc>
        <w:tc>
          <w:tcPr>
            <w:tcW w:type="dxa" w:w="1440"/>
          </w:tcPr>
          <w:p>
            <w:r>
              <w:t>100.0</w:t>
            </w:r>
          </w:p>
        </w:tc>
        <w:tc>
          <w:tcPr>
            <w:tcW w:type="dxa" w:w="1440"/>
          </w:tcPr>
          <w:p>
            <w:r>
              <w:t>质量正常</w:t>
            </w:r>
          </w:p>
        </w:tc>
      </w:tr>
      <w:tr>
        <w:tc>
          <w:tcPr>
            <w:tcW w:type="dxa" w:w="1440"/>
          </w:tcPr>
          <w:p>
            <w:r>
              <w:t>110020 易方达沪深300ETF联接A</w:t>
            </w:r>
          </w:p>
        </w:tc>
        <w:tc>
          <w:tcPr>
            <w:tcW w:type="dxa" w:w="1440"/>
          </w:tcPr>
          <w:p>
            <w:r>
              <w:t>指数型</w:t>
            </w:r>
          </w:p>
        </w:tc>
        <w:tc>
          <w:tcPr>
            <w:tcW w:type="dxa" w:w="1440"/>
          </w:tcPr>
          <w:p>
            <w:r>
              <w:t>100.0%</w:t>
            </w:r>
          </w:p>
        </w:tc>
        <w:tc>
          <w:tcPr>
            <w:tcW w:type="dxa" w:w="1440"/>
          </w:tcPr>
          <w:p>
            <w:r>
              <w:t>0</w:t>
            </w:r>
          </w:p>
        </w:tc>
        <w:tc>
          <w:tcPr>
            <w:tcW w:type="dxa" w:w="1440"/>
          </w:tcPr>
          <w:p>
            <w:r>
              <w:t>100.0</w:t>
            </w:r>
          </w:p>
        </w:tc>
        <w:tc>
          <w:tcPr>
            <w:tcW w:type="dxa" w:w="1440"/>
          </w:tcPr>
          <w:p>
            <w:r>
              <w:t>质量正常</w:t>
            </w:r>
          </w:p>
        </w:tc>
      </w:tr>
      <w:tr>
        <w:tc>
          <w:tcPr>
            <w:tcW w:type="dxa" w:w="1440"/>
          </w:tcPr>
          <w:p>
            <w:r>
              <w:t>000071 华夏恒生ETF联接A</w:t>
            </w:r>
          </w:p>
        </w:tc>
        <w:tc>
          <w:tcPr>
            <w:tcW w:type="dxa" w:w="1440"/>
          </w:tcPr>
          <w:p>
            <w:r>
              <w:t>指数型</w:t>
            </w:r>
          </w:p>
        </w:tc>
        <w:tc>
          <w:tcPr>
            <w:tcW w:type="dxa" w:w="1440"/>
          </w:tcPr>
          <w:p>
            <w:r>
              <w:t>100.0%</w:t>
            </w:r>
          </w:p>
        </w:tc>
        <w:tc>
          <w:tcPr>
            <w:tcW w:type="dxa" w:w="1440"/>
          </w:tcPr>
          <w:p>
            <w:r>
              <w:t>1</w:t>
            </w:r>
          </w:p>
        </w:tc>
        <w:tc>
          <w:tcPr>
            <w:tcW w:type="dxa" w:w="1440"/>
          </w:tcPr>
          <w:p>
            <w:r>
              <w:t>96.0</w:t>
            </w:r>
          </w:p>
        </w:tc>
        <w:tc>
          <w:tcPr>
            <w:tcW w:type="dxa" w:w="1440"/>
          </w:tcPr>
          <w:p>
            <w:r>
              <w:t>净值跳变1次</w:t>
            </w:r>
          </w:p>
        </w:tc>
      </w:tr>
    </w:tbl>
    <w:p>
      <w:r>
        <w:br w:type="page"/>
      </w:r>
    </w:p>
    <w:p>
      <w:pPr>
        <w:pStyle w:val="Heading1"/>
      </w:pPr>
      <w:r>
        <w:t>Walk-Forward 验证报告</w:t>
      </w:r>
    </w:p>
    <w:p>
      <w:pPr>
        <w:pStyle w:val="Heading1"/>
      </w:pPr>
      <w:r>
        <w:t>Walk-Forward 样本外验证</w:t>
      </w:r>
    </w:p>
    <w:p>
      <w:r>
        <w:t>本验证用于回答：历史多因子评分较高的基金，在后续持有期是否表现出一定区分能力。</w:t>
      </w:r>
    </w:p>
    <w:p>
      <w:r>
        <w:t>验证方式：</w:t>
      </w:r>
    </w:p>
    <w:p>
      <w:pPr>
        <w:pStyle w:val="ListBullet"/>
      </w:pPr>
      <w:r>
        <w:t>使用滚动历史窗口计算指标并进行评分。</w:t>
      </w:r>
    </w:p>
    <w:p>
      <w:pPr>
        <w:pStyle w:val="ListBullet"/>
      </w:pPr>
      <w:r>
        <w:t>选择 Top 10 与 Top 20% 基金构建等权组合。</w:t>
      </w:r>
    </w:p>
    <w:p>
      <w:pPr>
        <w:pStyle w:val="ListBullet"/>
      </w:pPr>
      <w:r>
        <w:t>与全基金等权组合进行比较。</w:t>
      </w:r>
    </w:p>
    <w:p>
      <w:pPr>
        <w:pStyle w:val="ListBullet"/>
      </w:pPr>
      <w:r>
        <w:t>观察后续持有期的真实表现。</w:t>
      </w:r>
    </w:p>
    <w:p>
      <w:pPr>
        <w:pStyle w:val="Heading2"/>
      </w:pPr>
      <w:r>
        <w:t>结果汇总</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Portfolio</w:t>
            </w:r>
          </w:p>
        </w:tc>
        <w:tc>
          <w:tcPr>
            <w:tcW w:type="dxa" w:w="1440"/>
          </w:tcPr>
          <w:p>
            <w:r>
              <w:rPr>
                <w:b/>
              </w:rPr>
              <w:t>Annual Return</w:t>
            </w:r>
          </w:p>
        </w:tc>
        <w:tc>
          <w:tcPr>
            <w:tcW w:type="dxa" w:w="1440"/>
          </w:tcPr>
          <w:p>
            <w:r>
              <w:rPr>
                <w:b/>
              </w:rPr>
              <w:t>Sharpe</w:t>
            </w:r>
          </w:p>
        </w:tc>
        <w:tc>
          <w:tcPr>
            <w:tcW w:type="dxa" w:w="1440"/>
          </w:tcPr>
          <w:p>
            <w:r>
              <w:rPr>
                <w:b/>
              </w:rPr>
              <w:t>Volatility</w:t>
            </w:r>
          </w:p>
        </w:tc>
        <w:tc>
          <w:tcPr>
            <w:tcW w:type="dxa" w:w="1440"/>
          </w:tcPr>
          <w:p>
            <w:r>
              <w:rPr>
                <w:b/>
              </w:rPr>
              <w:t>Max Drawdown</w:t>
            </w:r>
          </w:p>
        </w:tc>
        <w:tc>
          <w:tcPr>
            <w:tcW w:type="dxa" w:w="1440"/>
          </w:tcPr>
          <w:p>
            <w:r>
              <w:rPr>
                <w:b/>
              </w:rPr>
              <w:t>Win Rate</w:t>
            </w:r>
          </w:p>
        </w:tc>
      </w:tr>
      <w:tr>
        <w:tc>
          <w:tcPr>
            <w:tcW w:type="dxa" w:w="1440"/>
          </w:tcPr>
          <w:p>
            <w:r>
              <w:t>Top 10</w:t>
            </w:r>
          </w:p>
        </w:tc>
        <w:tc>
          <w:tcPr>
            <w:tcW w:type="dxa" w:w="1440"/>
          </w:tcPr>
          <w:p>
            <w:r>
              <w:t>5.08%</w:t>
            </w:r>
          </w:p>
        </w:tc>
        <w:tc>
          <w:tcPr>
            <w:tcW w:type="dxa" w:w="1440"/>
          </w:tcPr>
          <w:p>
            <w:r>
              <w:t>0.30</w:t>
            </w:r>
          </w:p>
        </w:tc>
        <w:tc>
          <w:tcPr>
            <w:tcW w:type="dxa" w:w="1440"/>
          </w:tcPr>
          <w:p>
            <w:r>
              <w:t>17.20%</w:t>
            </w:r>
          </w:p>
        </w:tc>
        <w:tc>
          <w:tcPr>
            <w:tcW w:type="dxa" w:w="1440"/>
          </w:tcPr>
          <w:p>
            <w:r>
              <w:t>-26.97%</w:t>
            </w:r>
          </w:p>
        </w:tc>
        <w:tc>
          <w:tcPr>
            <w:tcW w:type="dxa" w:w="1440"/>
          </w:tcPr>
          <w:p>
            <w:r>
              <w:t>48.4%</w:t>
            </w:r>
          </w:p>
        </w:tc>
      </w:tr>
      <w:tr>
        <w:tc>
          <w:tcPr>
            <w:tcW w:type="dxa" w:w="1440"/>
          </w:tcPr>
          <w:p>
            <w:r>
              <w:t>Top 20%</w:t>
            </w:r>
          </w:p>
        </w:tc>
        <w:tc>
          <w:tcPr>
            <w:tcW w:type="dxa" w:w="1440"/>
          </w:tcPr>
          <w:p>
            <w:r>
              <w:t>4.49%</w:t>
            </w:r>
          </w:p>
        </w:tc>
        <w:tc>
          <w:tcPr>
            <w:tcW w:type="dxa" w:w="1440"/>
          </w:tcPr>
          <w:p>
            <w:r>
              <w:t>0.23</w:t>
            </w:r>
          </w:p>
        </w:tc>
        <w:tc>
          <w:tcPr>
            <w:tcW w:type="dxa" w:w="1440"/>
          </w:tcPr>
          <w:p>
            <w:r>
              <w:t>19.44%</w:t>
            </w:r>
          </w:p>
        </w:tc>
        <w:tc>
          <w:tcPr>
            <w:tcW w:type="dxa" w:w="1440"/>
          </w:tcPr>
          <w:p>
            <w:r>
              <w:t>-31.56%</w:t>
            </w:r>
          </w:p>
        </w:tc>
        <w:tc>
          <w:tcPr>
            <w:tcW w:type="dxa" w:w="1440"/>
          </w:tcPr>
          <w:p>
            <w:r>
              <w:t>49.4%</w:t>
            </w:r>
          </w:p>
        </w:tc>
      </w:tr>
      <w:tr>
        <w:tc>
          <w:tcPr>
            <w:tcW w:type="dxa" w:w="1440"/>
          </w:tcPr>
          <w:p>
            <w:r>
              <w:t>All Funds</w:t>
            </w:r>
          </w:p>
        </w:tc>
        <w:tc>
          <w:tcPr>
            <w:tcW w:type="dxa" w:w="1440"/>
          </w:tcPr>
          <w:p>
            <w:r>
              <w:t>5.08%</w:t>
            </w:r>
          </w:p>
        </w:tc>
        <w:tc>
          <w:tcPr>
            <w:tcW w:type="dxa" w:w="1440"/>
          </w:tcPr>
          <w:p>
            <w:r>
              <w:t>0.30</w:t>
            </w:r>
          </w:p>
        </w:tc>
        <w:tc>
          <w:tcPr>
            <w:tcW w:type="dxa" w:w="1440"/>
          </w:tcPr>
          <w:p>
            <w:r>
              <w:t>17.20%</w:t>
            </w:r>
          </w:p>
        </w:tc>
        <w:tc>
          <w:tcPr>
            <w:tcW w:type="dxa" w:w="1440"/>
          </w:tcPr>
          <w:p>
            <w:r>
              <w:t>-26.97%</w:t>
            </w:r>
          </w:p>
        </w:tc>
        <w:tc>
          <w:tcPr>
            <w:tcW w:type="dxa" w:w="1440"/>
          </w:tcPr>
          <w:p>
            <w:r>
              <w:t>48.4%</w:t>
            </w:r>
          </w:p>
        </w:tc>
      </w:tr>
    </w:tbl>
    <w:p>
      <w:pPr>
        <w:pStyle w:val="Heading2"/>
      </w:pPr>
      <w:r>
        <w:t>样本窗口</w:t>
      </w:r>
    </w:p>
    <w:p>
      <w:pPr>
        <w:pStyle w:val="ListBullet"/>
      </w:pPr>
      <w:r>
        <w:t>有效滚动窗口数量：17</w:t>
      </w:r>
    </w:p>
    <w:p>
      <w:pPr>
        <w:pStyle w:val="ListBullet"/>
      </w:pPr>
      <w:r>
        <w:t>累计收益图：reports/web/runs/20260715_080824_203893/walk_forward_cumulative_return.png</w:t>
      </w:r>
    </w:p>
    <w:p>
      <w:pPr>
        <w:pStyle w:val="Heading2"/>
      </w:pPr>
      <w:r>
        <w:t>表述边界</w:t>
      </w:r>
    </w:p>
    <w:p>
      <w:r>
        <w:t>该验证不证明模型可以预测基金未来收益，只检验历史评价指标是否对后续表现具有一定区分能力。</w:t>
      </w:r>
    </w:p>
    <w:p>
      <w:r>
        <w:br w:type="page"/>
      </w:r>
    </w:p>
    <w:p>
      <w:pPr>
        <w:pStyle w:val="Heading1"/>
      </w:pPr>
      <w:r>
        <w:t>因子贡献解释</w:t>
      </w:r>
    </w:p>
    <w:p>
      <w:pPr>
        <w:pStyle w:val="Heading1"/>
      </w:pPr>
      <w:r>
        <w:t>因子贡献解释</w:t>
      </w:r>
    </w:p>
    <w:p>
      <w:r>
        <w:t>当前评分模型是确定性的线性加权模型，因此可以直接进行精确贡献分解，而不需要使用近似解释方法。</w:t>
      </w:r>
    </w:p>
    <w:p>
      <w:r>
        <w:t>每个因子的贡献为：</w:t>
      </w:r>
    </w:p>
    <w:p>
      <w:r>
        <w:t>factor_contribution = factor_percentile_score * normalized_weight</w:t>
      </w:r>
    </w:p>
    <w:p>
      <w:pPr>
        <w:pStyle w:val="Heading2"/>
      </w:pPr>
      <w:r>
        <w:t>Top 10 解释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基金</w:t>
            </w:r>
          </w:p>
        </w:tc>
        <w:tc>
          <w:tcPr>
            <w:tcW w:type="dxa" w:w="2160"/>
          </w:tcPr>
          <w:p>
            <w:r>
              <w:rPr>
                <w:b/>
              </w:rPr>
              <w:t>主要正向因素</w:t>
            </w:r>
          </w:p>
        </w:tc>
        <w:tc>
          <w:tcPr>
            <w:tcW w:type="dxa" w:w="2160"/>
          </w:tcPr>
          <w:p>
            <w:r>
              <w:rPr>
                <w:b/>
              </w:rPr>
              <w:t>相对弱项</w:t>
            </w:r>
          </w:p>
        </w:tc>
        <w:tc>
          <w:tcPr>
            <w:tcW w:type="dxa" w:w="2160"/>
          </w:tcPr>
          <w:p>
            <w:r>
              <w:rPr>
                <w:b/>
              </w:rPr>
              <w:t>解释</w:t>
            </w:r>
          </w:p>
        </w:tc>
      </w:tr>
      <w:tr>
        <w:tc>
          <w:tcPr>
            <w:tcW w:type="dxa" w:w="2160"/>
          </w:tcPr>
          <w:p>
            <w:r>
              <w:t>001052 华夏中证500ETF联接A</w:t>
            </w:r>
          </w:p>
        </w:tc>
        <w:tc>
          <w:tcPr>
            <w:tcW w:type="dxa" w:w="2160"/>
          </w:tcPr>
          <w:p>
            <w:r>
              <w:t>sharpe: 25.00；annual_return: 20.00；max_drawdown: 20.00</w:t>
            </w:r>
          </w:p>
        </w:tc>
        <w:tc>
          <w:tcPr>
            <w:tcW w:type="dxa" w:w="2160"/>
          </w:tcPr>
          <w:p>
            <w:r>
              <w:t>annual_volatility: 4.00；calmar: 10.00</w:t>
            </w:r>
          </w:p>
        </w:tc>
        <w:tc>
          <w:tcPr>
            <w:tcW w:type="dxa" w:w="2160"/>
          </w:tcPr>
          <w:p>
            <w:r>
              <w:t>该基金综合评分主要由 sharpe、annual_return 支撑，相对弱项集中在 annual_volatility、calmar。</w:t>
            </w:r>
          </w:p>
        </w:tc>
      </w:tr>
      <w:tr>
        <w:tc>
          <w:tcPr>
            <w:tcW w:type="dxa" w:w="2160"/>
          </w:tcPr>
          <w:p>
            <w:r>
              <w:t>110020 易方达沪深300ETF联接A</w:t>
            </w:r>
          </w:p>
        </w:tc>
        <w:tc>
          <w:tcPr>
            <w:tcW w:type="dxa" w:w="2160"/>
          </w:tcPr>
          <w:p>
            <w:r>
              <w:t>sharpe: 20.00；annual_return: 16.00；max_drawdown: 16.00</w:t>
            </w:r>
          </w:p>
        </w:tc>
        <w:tc>
          <w:tcPr>
            <w:tcW w:type="dxa" w:w="2160"/>
          </w:tcPr>
          <w:p>
            <w:r>
              <w:t>calmar: 8.00；annual_volatility: 10.00</w:t>
            </w:r>
          </w:p>
        </w:tc>
        <w:tc>
          <w:tcPr>
            <w:tcW w:type="dxa" w:w="2160"/>
          </w:tcPr>
          <w:p>
            <w:r>
              <w:t>该基金综合评分主要由 sharpe、annual_return 支撑，相对弱项集中在 calmar、annual_volatility。</w:t>
            </w:r>
          </w:p>
        </w:tc>
      </w:tr>
      <w:tr>
        <w:tc>
          <w:tcPr>
            <w:tcW w:type="dxa" w:w="2160"/>
          </w:tcPr>
          <w:p>
            <w:r>
              <w:t>000051 华夏沪深300ETF联接A</w:t>
            </w:r>
          </w:p>
        </w:tc>
        <w:tc>
          <w:tcPr>
            <w:tcW w:type="dxa" w:w="2160"/>
          </w:tcPr>
          <w:p>
            <w:r>
              <w:t>sharpe: 15.00；annual_return: 12.00；rolling_positive_ratio: 9.00</w:t>
            </w:r>
          </w:p>
        </w:tc>
        <w:tc>
          <w:tcPr>
            <w:tcW w:type="dxa" w:w="2160"/>
          </w:tcPr>
          <w:p>
            <w:r>
              <w:t>calmar: 6.00；annual_volatility: 6.00</w:t>
            </w:r>
          </w:p>
        </w:tc>
        <w:tc>
          <w:tcPr>
            <w:tcW w:type="dxa" w:w="2160"/>
          </w:tcPr>
          <w:p>
            <w:r>
              <w:t>该基金综合评分主要由 sharpe、annual_return 支撑，相对弱项集中在 calmar、annual_volatility。</w:t>
            </w:r>
          </w:p>
        </w:tc>
      </w:tr>
      <w:tr>
        <w:tc>
          <w:tcPr>
            <w:tcW w:type="dxa" w:w="2160"/>
          </w:tcPr>
          <w:p>
            <w:r>
              <w:t>005918 天弘沪深300ETF联接C</w:t>
            </w:r>
          </w:p>
        </w:tc>
        <w:tc>
          <w:tcPr>
            <w:tcW w:type="dxa" w:w="2160"/>
          </w:tcPr>
          <w:p>
            <w:r>
              <w:t>max_drawdown: 12.00；sharpe: 10.00；annual_return: 8.00</w:t>
            </w:r>
          </w:p>
        </w:tc>
        <w:tc>
          <w:tcPr>
            <w:tcW w:type="dxa" w:w="2160"/>
          </w:tcPr>
          <w:p>
            <w:r>
              <w:t>calmar: 4.00；rolling_positive_ratio: 6.00</w:t>
            </w:r>
          </w:p>
        </w:tc>
        <w:tc>
          <w:tcPr>
            <w:tcW w:type="dxa" w:w="2160"/>
          </w:tcPr>
          <w:p>
            <w:r>
              <w:t>该基金综合评分主要由 max_drawdown、sharpe 支撑，相对弱项集中在 calmar、rolling_positive_ratio。</w:t>
            </w:r>
          </w:p>
        </w:tc>
      </w:tr>
      <w:tr>
        <w:tc>
          <w:tcPr>
            <w:tcW w:type="dxa" w:w="2160"/>
          </w:tcPr>
          <w:p>
            <w:r>
              <w:t>000071 华夏恒生ETF联接A</w:t>
            </w:r>
          </w:p>
        </w:tc>
        <w:tc>
          <w:tcPr>
            <w:tcW w:type="dxa" w:w="2160"/>
          </w:tcPr>
          <w:p>
            <w:r>
              <w:t>sharpe: 5.00；annual_return: 4.00；max_drawdown: 4.00</w:t>
            </w:r>
          </w:p>
        </w:tc>
        <w:tc>
          <w:tcPr>
            <w:tcW w:type="dxa" w:w="2160"/>
          </w:tcPr>
          <w:p>
            <w:r>
              <w:t>calmar: 2.00；annual_volatility: 2.00</w:t>
            </w:r>
          </w:p>
        </w:tc>
        <w:tc>
          <w:tcPr>
            <w:tcW w:type="dxa" w:w="2160"/>
          </w:tcPr>
          <w:p>
            <w:r>
              <w:t>该基金综合评分主要由 sharpe、annual_return 支撑，相对弱项集中在 calmar、annual_volatility。</w:t>
            </w:r>
          </w:p>
        </w:tc>
      </w:tr>
    </w:tbl>
    <w:p>
      <w:r>
        <w:br w:type="page"/>
      </w:r>
    </w:p>
    <w:p>
      <w:pPr>
        <w:pStyle w:val="Heading1"/>
      </w:pPr>
      <w:r>
        <w:t>LIME 局部解释</w:t>
      </w:r>
    </w:p>
    <w:p>
      <w:pPr>
        <w:pStyle w:val="Heading1"/>
      </w:pPr>
      <w:r>
        <w:t>LIME 局部解释</w:t>
      </w:r>
    </w:p>
    <w:p>
      <w:r>
        <w:t>本报告把 LIME 定位为补充性的局部解释模块：系统仍以确定性的多因子评分和精确因子贡献分解作为主解释，LIME 用于回答“在某只基金附近，如果单个因子小幅变化，综合评分会怎样局部响应”。</w:t>
      </w:r>
    </w:p>
    <w:p>
      <w:r>
        <w:t>实现方式：</w:t>
      </w:r>
    </w:p>
    <w:p>
      <w:r>
        <w:t>选取单只基金 -&gt; 在其因子附近生成扰动样本 -&gt; 调用现有评分模型得到综合评分 -&gt; 按距离加权拟合局部线性代理模型</w:t>
      </w:r>
    </w:p>
    <w:p>
      <w:r>
        <w:t>local_weight 表示该因子在当前基金附近上升 1 个样本标准差时，局部代理模型估计的综合评分变化。正值表示该因子上升倾向于抬高综合评分，负值表示倾向于压低综合评分。对于 annual_volatility，模型方向本来就是越低越好，因此它的局部权重通常为负。</w:t>
      </w:r>
    </w:p>
    <w:p>
      <w:pPr>
        <w:pStyle w:val="Heading2"/>
      </w:pPr>
      <w:r>
        <w:t>Top 10 局部解释</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基金</w:t>
            </w:r>
          </w:p>
        </w:tc>
        <w:tc>
          <w:tcPr>
            <w:tcW w:type="dxa" w:w="1728"/>
          </w:tcPr>
          <w:p>
            <w:r>
              <w:rPr>
                <w:b/>
              </w:rPr>
              <w:t>局部正向敏感因子</w:t>
            </w:r>
          </w:p>
        </w:tc>
        <w:tc>
          <w:tcPr>
            <w:tcW w:type="dxa" w:w="1728"/>
          </w:tcPr>
          <w:p>
            <w:r>
              <w:rPr>
                <w:b/>
              </w:rPr>
              <w:t>局部负向敏感因子</w:t>
            </w:r>
          </w:p>
        </w:tc>
        <w:tc>
          <w:tcPr>
            <w:tcW w:type="dxa" w:w="1728"/>
          </w:tcPr>
          <w:p>
            <w:r>
              <w:rPr>
                <w:b/>
              </w:rPr>
              <w:t>代理模型R²</w:t>
            </w:r>
          </w:p>
        </w:tc>
        <w:tc>
          <w:tcPr>
            <w:tcW w:type="dxa" w:w="1728"/>
          </w:tcPr>
          <w:p>
            <w:r>
              <w:rPr>
                <w:b/>
              </w:rPr>
              <w:t>说明</w:t>
            </w:r>
          </w:p>
        </w:tc>
      </w:tr>
      <w:tr>
        <w:tc>
          <w:tcPr>
            <w:tcW w:type="dxa" w:w="1728"/>
          </w:tcPr>
          <w:p>
            <w:r>
              <w:t>001052 华夏中证500ETF联接A</w:t>
            </w:r>
          </w:p>
        </w:tc>
        <w:tc>
          <w:tcPr>
            <w:tcW w:type="dxa" w:w="1728"/>
          </w:tcPr>
          <w:p>
            <w:r>
              <w:t>sharpe: +13.06；annual_return: +9.78；max_drawdown: +9.21</w:t>
            </w:r>
          </w:p>
        </w:tc>
        <w:tc>
          <w:tcPr>
            <w:tcW w:type="dxa" w:w="1728"/>
          </w:tcPr>
          <w:p>
            <w:r>
              <w:t>annual_volatility: -3.98</w:t>
            </w:r>
          </w:p>
        </w:tc>
        <w:tc>
          <w:tcPr>
            <w:tcW w:type="dxa" w:w="1728"/>
          </w:tcPr>
          <w:p>
            <w:r>
              <w:t>0.823</w:t>
            </w:r>
          </w:p>
        </w:tc>
        <w:tc>
          <w:tcPr>
            <w:tcW w:type="dxa" w:w="1728"/>
          </w:tcPr>
          <w:p>
            <w:r>
              <w:t>局部来看，sharpe、annual_return 上升倾向于抬高评分，annual_volatility 上升倾向于压低评分。</w:t>
            </w:r>
          </w:p>
        </w:tc>
      </w:tr>
      <w:tr>
        <w:tc>
          <w:tcPr>
            <w:tcW w:type="dxa" w:w="1728"/>
          </w:tcPr>
          <w:p>
            <w:r>
              <w:t>110020 易方达沪深300ETF联接A</w:t>
            </w:r>
          </w:p>
        </w:tc>
        <w:tc>
          <w:tcPr>
            <w:tcW w:type="dxa" w:w="1728"/>
          </w:tcPr>
          <w:p>
            <w:r>
              <w:t>sharpe: +11.76；annual_return: +9.48；max_drawdown: +8.01</w:t>
            </w:r>
          </w:p>
        </w:tc>
        <w:tc>
          <w:tcPr>
            <w:tcW w:type="dxa" w:w="1728"/>
          </w:tcPr>
          <w:p>
            <w:r>
              <w:t>annual_volatility: -5.06</w:t>
            </w:r>
          </w:p>
        </w:tc>
        <w:tc>
          <w:tcPr>
            <w:tcW w:type="dxa" w:w="1728"/>
          </w:tcPr>
          <w:p>
            <w:r>
              <w:t>0.887</w:t>
            </w:r>
          </w:p>
        </w:tc>
        <w:tc>
          <w:tcPr>
            <w:tcW w:type="dxa" w:w="1728"/>
          </w:tcPr>
          <w:p>
            <w:r>
              <w:t>局部来看，sharpe、annual_return 上升倾向于抬高评分，annual_volatility 上升倾向于压低评分。</w:t>
            </w:r>
          </w:p>
        </w:tc>
      </w:tr>
      <w:tr>
        <w:tc>
          <w:tcPr>
            <w:tcW w:type="dxa" w:w="1728"/>
          </w:tcPr>
          <w:p>
            <w:r>
              <w:t>000051 华夏沪深300ETF联接A</w:t>
            </w:r>
          </w:p>
        </w:tc>
        <w:tc>
          <w:tcPr>
            <w:tcW w:type="dxa" w:w="1728"/>
          </w:tcPr>
          <w:p>
            <w:r>
              <w:t>sharpe: +11.62；annual_return: +9.19；max_drawdown: +7.79</w:t>
            </w:r>
          </w:p>
        </w:tc>
        <w:tc>
          <w:tcPr>
            <w:tcW w:type="dxa" w:w="1728"/>
          </w:tcPr>
          <w:p>
            <w:r>
              <w:t>annual_volatility: -5.05</w:t>
            </w:r>
          </w:p>
        </w:tc>
        <w:tc>
          <w:tcPr>
            <w:tcW w:type="dxa" w:w="1728"/>
          </w:tcPr>
          <w:p>
            <w:r>
              <w:t>0.892</w:t>
            </w:r>
          </w:p>
        </w:tc>
        <w:tc>
          <w:tcPr>
            <w:tcW w:type="dxa" w:w="1728"/>
          </w:tcPr>
          <w:p>
            <w:r>
              <w:t>局部来看，sharpe、annual_return 上升倾向于抬高评分，annual_volatility 上升倾向于压低评分。</w:t>
            </w:r>
          </w:p>
        </w:tc>
      </w:tr>
      <w:tr>
        <w:tc>
          <w:tcPr>
            <w:tcW w:type="dxa" w:w="1728"/>
          </w:tcPr>
          <w:p>
            <w:r>
              <w:t>005918 天弘沪深300ETF联接C</w:t>
            </w:r>
          </w:p>
        </w:tc>
        <w:tc>
          <w:tcPr>
            <w:tcW w:type="dxa" w:w="1728"/>
          </w:tcPr>
          <w:p>
            <w:r>
              <w:t>sharpe: +12.44；annual_return: +8.80；max_drawdown: +7.02</w:t>
            </w:r>
          </w:p>
        </w:tc>
        <w:tc>
          <w:tcPr>
            <w:tcW w:type="dxa" w:w="1728"/>
          </w:tcPr>
          <w:p>
            <w:r>
              <w:t>annual_volatility: -5.23</w:t>
            </w:r>
          </w:p>
        </w:tc>
        <w:tc>
          <w:tcPr>
            <w:tcW w:type="dxa" w:w="1728"/>
          </w:tcPr>
          <w:p>
            <w:r>
              <w:t>0.877</w:t>
            </w:r>
          </w:p>
        </w:tc>
        <w:tc>
          <w:tcPr>
            <w:tcW w:type="dxa" w:w="1728"/>
          </w:tcPr>
          <w:p>
            <w:r>
              <w:t>局部来看，sharpe、annual_return 上升倾向于抬高评分，annual_volatility 上升倾向于压低评分。</w:t>
            </w:r>
          </w:p>
        </w:tc>
      </w:tr>
      <w:tr>
        <w:tc>
          <w:tcPr>
            <w:tcW w:type="dxa" w:w="1728"/>
          </w:tcPr>
          <w:p>
            <w:r>
              <w:t>000071 华夏恒生ETF联接A</w:t>
            </w:r>
          </w:p>
        </w:tc>
        <w:tc>
          <w:tcPr>
            <w:tcW w:type="dxa" w:w="1728"/>
          </w:tcPr>
          <w:p>
            <w:r>
              <w:t>sharpe: +12.30；max_drawdown: +10.98；annual_return: +9.92</w:t>
            </w:r>
          </w:p>
        </w:tc>
        <w:tc>
          <w:tcPr>
            <w:tcW w:type="dxa" w:w="1728"/>
          </w:tcPr>
          <w:p>
            <w:r>
              <w:t>annual_volatility: -5.38</w:t>
            </w:r>
          </w:p>
        </w:tc>
        <w:tc>
          <w:tcPr>
            <w:tcW w:type="dxa" w:w="1728"/>
          </w:tcPr>
          <w:p>
            <w:r>
              <w:t>0.825</w:t>
            </w:r>
          </w:p>
        </w:tc>
        <w:tc>
          <w:tcPr>
            <w:tcW w:type="dxa" w:w="1728"/>
          </w:tcPr>
          <w:p>
            <w:r>
              <w:t>局部来看，sharpe、max_drawdown 上升倾向于抬高评分，annual_volatility 上升倾向于压低评分。</w:t>
            </w:r>
          </w:p>
        </w:tc>
      </w:tr>
    </w:tbl>
    <w:p>
      <w:pPr>
        <w:pStyle w:val="Heading2"/>
      </w:pPr>
      <w:r>
        <w:t>使用边界</w:t>
      </w:r>
    </w:p>
    <w:p>
      <w:r>
        <w:t>LIME 是局部近似解释，不是未来收益预测，也不是买入、持有或卖出建议。当代理模型R²较低时，说明该基金附近的评分响应不容易被线性模型近似，应优先参考精确因子贡献分解和原始指标。</w:t>
      </w:r>
    </w:p>
    <w:p>
      <w:r>
        <w:br w:type="page"/>
      </w:r>
    </w:p>
    <w:p>
      <w:pPr>
        <w:pStyle w:val="Heading1"/>
      </w:pPr>
      <w:r>
        <w:t>因子相关性诊断</w:t>
      </w:r>
    </w:p>
    <w:p>
      <w:pPr>
        <w:pStyle w:val="Heading1"/>
      </w:pPr>
      <w:r>
        <w:t>因子相关性诊断</w:t>
      </w:r>
    </w:p>
    <w:p>
      <w:r>
        <w:t>本诊断使用 Spearman 相关系数检查评分因子之间的信息重叠。</w:t>
      </w:r>
    </w:p>
    <w:p>
      <w:pPr>
        <w:pStyle w:val="Heading2"/>
      </w:pPr>
      <w:r>
        <w:t>高相关因子对</w:t>
      </w:r>
    </w:p>
    <w:p>
      <w:pPr>
        <w:pStyle w:val="ListBullet"/>
      </w:pPr>
      <w:r>
        <w:t>annual_return 与 sharpe 的 Spearman 相关系数为 1.00</w:t>
      </w:r>
    </w:p>
    <w:p>
      <w:pPr>
        <w:pStyle w:val="ListBullet"/>
      </w:pPr>
      <w:r>
        <w:t>annual_return 与 max_drawdown 的 Spearman 相关系数为 0.90</w:t>
      </w:r>
    </w:p>
    <w:p>
      <w:pPr>
        <w:pStyle w:val="ListBullet"/>
      </w:pPr>
      <w:r>
        <w:t>annual_return 与 calmar 的 Spearman 相关系数为 1.00</w:t>
      </w:r>
    </w:p>
    <w:p>
      <w:pPr>
        <w:pStyle w:val="ListBullet"/>
      </w:pPr>
      <w:r>
        <w:t>annual_return 与 rolling_positive_ratio 的 Spearman 相关系数为 1.00</w:t>
      </w:r>
    </w:p>
    <w:p>
      <w:pPr>
        <w:pStyle w:val="ListBullet"/>
      </w:pPr>
      <w:r>
        <w:t>sharpe 与 max_drawdown 的 Spearman 相关系数为 0.90</w:t>
      </w:r>
    </w:p>
    <w:p>
      <w:pPr>
        <w:pStyle w:val="ListBullet"/>
      </w:pPr>
      <w:r>
        <w:t>sharpe 与 calmar 的 Spearman 相关系数为 1.00</w:t>
      </w:r>
    </w:p>
    <w:p>
      <w:pPr>
        <w:pStyle w:val="ListBullet"/>
      </w:pPr>
      <w:r>
        <w:t>sharpe 与 rolling_positive_ratio 的 Spearman 相关系数为 1.00</w:t>
      </w:r>
    </w:p>
    <w:p>
      <w:pPr>
        <w:pStyle w:val="ListBullet"/>
      </w:pPr>
      <w:r>
        <w:t>max_drawdown 与 calmar 的 Spearman 相关系数为 0.90</w:t>
      </w:r>
    </w:p>
    <w:p>
      <w:pPr>
        <w:pStyle w:val="ListBullet"/>
      </w:pPr>
      <w:r>
        <w:t>max_drawdown 与 rolling_positive_ratio 的 Spearman 相关系数为 0.90</w:t>
      </w:r>
    </w:p>
    <w:p>
      <w:pPr>
        <w:pStyle w:val="ListBullet"/>
      </w:pPr>
      <w:r>
        <w:t>calmar 与 rolling_positive_ratio 的 Spearman 相关系数为 1.00</w:t>
      </w:r>
    </w:p>
    <w:p>
      <w:pPr>
        <w:pStyle w:val="Heading2"/>
      </w:pPr>
      <w:r>
        <w:t>解释</w:t>
      </w:r>
    </w:p>
    <w:p>
      <w:r>
        <w:t>Sharpe、Calmar、收益率、波动率和最大回撤之间存在结构性关联。保留这些指标的原因是它们刻画的风险含义不同：Sharpe 更关注整体波动下的风险调整收益，Calmar 更关注极端回撤下的收益表现。本报告用于提示潜在冗余，而不是机械删除指标。</w:t>
      </w:r>
    </w:p>
    <w:p>
      <w:r>
        <w:br w:type="page"/>
      </w:r>
    </w:p>
    <w:p>
      <w:pPr>
        <w:pStyle w:val="Heading1"/>
      </w:pPr>
      <w:r>
        <w:t>权重敏感性报告</w:t>
      </w:r>
    </w:p>
    <w:p>
      <w:pPr>
        <w:pStyle w:val="Heading1"/>
      </w:pPr>
      <w:r>
        <w:t>权重敏感性分析</w:t>
      </w:r>
    </w:p>
    <w:p>
      <w:r>
        <w:t>本分析比较同一批基金在激进型、平衡型、稳健型三类投资者画像下的排名变化。</w:t>
      </w:r>
    </w:p>
    <w:p>
      <w:r>
        <w:t>rank_spread 表示一只基金在不同画像下的最好排名与最差排名之差，数值越小，说明排名对权重假设越不敏感。</w:t>
      </w:r>
    </w:p>
    <w:p>
      <w:pPr>
        <w:pStyle w:val="Heading2"/>
      </w:pPr>
      <w:r>
        <w:t>排名较稳定的基金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基金</w:t>
            </w:r>
          </w:p>
        </w:tc>
        <w:tc>
          <w:tcPr>
            <w:tcW w:type="dxa" w:w="1728"/>
          </w:tcPr>
          <w:p>
            <w:r>
              <w:rPr>
                <w:b/>
              </w:rPr>
              <w:t>aggressive</w:t>
            </w:r>
          </w:p>
        </w:tc>
        <w:tc>
          <w:tcPr>
            <w:tcW w:type="dxa" w:w="1728"/>
          </w:tcPr>
          <w:p>
            <w:r>
              <w:rPr>
                <w:b/>
              </w:rPr>
              <w:t>balanced</w:t>
            </w:r>
          </w:p>
        </w:tc>
        <w:tc>
          <w:tcPr>
            <w:tcW w:type="dxa" w:w="1728"/>
          </w:tcPr>
          <w:p>
            <w:r>
              <w:rPr>
                <w:b/>
              </w:rPr>
              <w:t>conservative</w:t>
            </w:r>
          </w:p>
        </w:tc>
        <w:tc>
          <w:tcPr>
            <w:tcW w:type="dxa" w:w="1728"/>
          </w:tcPr>
          <w:p>
            <w:r>
              <w:rPr>
                <w:b/>
              </w:rPr>
              <w:t>rank_spread</w:t>
            </w:r>
          </w:p>
        </w:tc>
      </w:tr>
      <w:tr>
        <w:tc>
          <w:tcPr>
            <w:tcW w:type="dxa" w:w="1728"/>
          </w:tcPr>
          <w:p>
            <w:r>
              <w:t>001052 华夏中证500ETF联接A</w:t>
            </w:r>
          </w:p>
        </w:tc>
        <w:tc>
          <w:tcPr>
            <w:tcW w:type="dxa" w:w="1728"/>
          </w:tcPr>
          <w:p>
            <w:r>
              <w:t>1</w:t>
            </w:r>
          </w:p>
        </w:tc>
        <w:tc>
          <w:tcPr>
            <w:tcW w:type="dxa" w:w="1728"/>
          </w:tcPr>
          <w:p>
            <w:r>
              <w:t>1</w:t>
            </w:r>
          </w:p>
        </w:tc>
        <w:tc>
          <w:tcPr>
            <w:tcW w:type="dxa" w:w="1728"/>
          </w:tcPr>
          <w:p>
            <w:r>
              <w:t>1</w:t>
            </w:r>
          </w:p>
        </w:tc>
        <w:tc>
          <w:tcPr>
            <w:tcW w:type="dxa" w:w="1728"/>
          </w:tcPr>
          <w:p>
            <w:r>
              <w:t>0</w:t>
            </w:r>
          </w:p>
        </w:tc>
      </w:tr>
      <w:tr>
        <w:tc>
          <w:tcPr>
            <w:tcW w:type="dxa" w:w="1728"/>
          </w:tcPr>
          <w:p>
            <w:r>
              <w:t>110020 易方达沪深300ETF联接A</w:t>
            </w:r>
          </w:p>
        </w:tc>
        <w:tc>
          <w:tcPr>
            <w:tcW w:type="dxa" w:w="1728"/>
          </w:tcPr>
          <w:p>
            <w:r>
              <w:t>2</w:t>
            </w:r>
          </w:p>
        </w:tc>
        <w:tc>
          <w:tcPr>
            <w:tcW w:type="dxa" w:w="1728"/>
          </w:tcPr>
          <w:p>
            <w:r>
              <w:t>2</w:t>
            </w:r>
          </w:p>
        </w:tc>
        <w:tc>
          <w:tcPr>
            <w:tcW w:type="dxa" w:w="1728"/>
          </w:tcPr>
          <w:p>
            <w:r>
              <w:t>2</w:t>
            </w:r>
          </w:p>
        </w:tc>
        <w:tc>
          <w:tcPr>
            <w:tcW w:type="dxa" w:w="1728"/>
          </w:tcPr>
          <w:p>
            <w:r>
              <w:t>0</w:t>
            </w:r>
          </w:p>
        </w:tc>
      </w:tr>
      <w:tr>
        <w:tc>
          <w:tcPr>
            <w:tcW w:type="dxa" w:w="1728"/>
          </w:tcPr>
          <w:p>
            <w:r>
              <w:t>000051 华夏沪深300ETF联接A</w:t>
            </w:r>
          </w:p>
        </w:tc>
        <w:tc>
          <w:tcPr>
            <w:tcW w:type="dxa" w:w="1728"/>
          </w:tcPr>
          <w:p>
            <w:r>
              <w:t>3</w:t>
            </w:r>
          </w:p>
        </w:tc>
        <w:tc>
          <w:tcPr>
            <w:tcW w:type="dxa" w:w="1728"/>
          </w:tcPr>
          <w:p>
            <w:r>
              <w:t>3</w:t>
            </w:r>
          </w:p>
        </w:tc>
        <w:tc>
          <w:tcPr>
            <w:tcW w:type="dxa" w:w="1728"/>
          </w:tcPr>
          <w:p>
            <w:r>
              <w:t>3</w:t>
            </w:r>
          </w:p>
        </w:tc>
        <w:tc>
          <w:tcPr>
            <w:tcW w:type="dxa" w:w="1728"/>
          </w:tcPr>
          <w:p>
            <w:r>
              <w:t>0</w:t>
            </w:r>
          </w:p>
        </w:tc>
      </w:tr>
      <w:tr>
        <w:tc>
          <w:tcPr>
            <w:tcW w:type="dxa" w:w="1728"/>
          </w:tcPr>
          <w:p>
            <w:r>
              <w:t>005918 天弘沪深300ETF联接C</w:t>
            </w:r>
          </w:p>
        </w:tc>
        <w:tc>
          <w:tcPr>
            <w:tcW w:type="dxa" w:w="1728"/>
          </w:tcPr>
          <w:p>
            <w:r>
              <w:t>4</w:t>
            </w:r>
          </w:p>
        </w:tc>
        <w:tc>
          <w:tcPr>
            <w:tcW w:type="dxa" w:w="1728"/>
          </w:tcPr>
          <w:p>
            <w:r>
              <w:t>4</w:t>
            </w:r>
          </w:p>
        </w:tc>
        <w:tc>
          <w:tcPr>
            <w:tcW w:type="dxa" w:w="1728"/>
          </w:tcPr>
          <w:p>
            <w:r>
              <w:t>4</w:t>
            </w:r>
          </w:p>
        </w:tc>
        <w:tc>
          <w:tcPr>
            <w:tcW w:type="dxa" w:w="1728"/>
          </w:tcPr>
          <w:p>
            <w:r>
              <w:t>0</w:t>
            </w:r>
          </w:p>
        </w:tc>
      </w:tr>
      <w:tr>
        <w:tc>
          <w:tcPr>
            <w:tcW w:type="dxa" w:w="1728"/>
          </w:tcPr>
          <w:p>
            <w:r>
              <w:t>000071 华夏恒生ETF联接A</w:t>
            </w:r>
          </w:p>
        </w:tc>
        <w:tc>
          <w:tcPr>
            <w:tcW w:type="dxa" w:w="1728"/>
          </w:tcPr>
          <w:p>
            <w:r>
              <w:t>5</w:t>
            </w:r>
          </w:p>
        </w:tc>
        <w:tc>
          <w:tcPr>
            <w:tcW w:type="dxa" w:w="1728"/>
          </w:tcPr>
          <w:p>
            <w:r>
              <w:t>5</w:t>
            </w:r>
          </w:p>
        </w:tc>
        <w:tc>
          <w:tcPr>
            <w:tcW w:type="dxa" w:w="1728"/>
          </w:tcPr>
          <w:p>
            <w:r>
              <w:t>5</w:t>
            </w:r>
          </w:p>
        </w:tc>
        <w:tc>
          <w:tcPr>
            <w:tcW w:type="dxa" w:w="1728"/>
          </w:tcPr>
          <w:p>
            <w:r>
              <w:t>0</w:t>
            </w:r>
          </w:p>
        </w:tc>
      </w:tr>
    </w:tbl>
    <w:p>
      <w:pPr>
        <w:pStyle w:val="Heading2"/>
      </w:pPr>
      <w:r>
        <w:t>排名变化较大的基金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基金</w:t>
            </w:r>
          </w:p>
        </w:tc>
        <w:tc>
          <w:tcPr>
            <w:tcW w:type="dxa" w:w="1728"/>
          </w:tcPr>
          <w:p>
            <w:r>
              <w:rPr>
                <w:b/>
              </w:rPr>
              <w:t>aggressive</w:t>
            </w:r>
          </w:p>
        </w:tc>
        <w:tc>
          <w:tcPr>
            <w:tcW w:type="dxa" w:w="1728"/>
          </w:tcPr>
          <w:p>
            <w:r>
              <w:rPr>
                <w:b/>
              </w:rPr>
              <w:t>balanced</w:t>
            </w:r>
          </w:p>
        </w:tc>
        <w:tc>
          <w:tcPr>
            <w:tcW w:type="dxa" w:w="1728"/>
          </w:tcPr>
          <w:p>
            <w:r>
              <w:rPr>
                <w:b/>
              </w:rPr>
              <w:t>conservative</w:t>
            </w:r>
          </w:p>
        </w:tc>
        <w:tc>
          <w:tcPr>
            <w:tcW w:type="dxa" w:w="1728"/>
          </w:tcPr>
          <w:p>
            <w:r>
              <w:rPr>
                <w:b/>
              </w:rPr>
              <w:t>rank_spread</w:t>
            </w:r>
          </w:p>
        </w:tc>
      </w:tr>
      <w:tr>
        <w:tc>
          <w:tcPr>
            <w:tcW w:type="dxa" w:w="1728"/>
          </w:tcPr>
          <w:p>
            <w:r>
              <w:t>001052 华夏中证500ETF联接A</w:t>
            </w:r>
          </w:p>
        </w:tc>
        <w:tc>
          <w:tcPr>
            <w:tcW w:type="dxa" w:w="1728"/>
          </w:tcPr>
          <w:p>
            <w:r>
              <w:t>1</w:t>
            </w:r>
          </w:p>
        </w:tc>
        <w:tc>
          <w:tcPr>
            <w:tcW w:type="dxa" w:w="1728"/>
          </w:tcPr>
          <w:p>
            <w:r>
              <w:t>1</w:t>
            </w:r>
          </w:p>
        </w:tc>
        <w:tc>
          <w:tcPr>
            <w:tcW w:type="dxa" w:w="1728"/>
          </w:tcPr>
          <w:p>
            <w:r>
              <w:t>1</w:t>
            </w:r>
          </w:p>
        </w:tc>
        <w:tc>
          <w:tcPr>
            <w:tcW w:type="dxa" w:w="1728"/>
          </w:tcPr>
          <w:p>
            <w:r>
              <w:t>0</w:t>
            </w:r>
          </w:p>
        </w:tc>
      </w:tr>
      <w:tr>
        <w:tc>
          <w:tcPr>
            <w:tcW w:type="dxa" w:w="1728"/>
          </w:tcPr>
          <w:p>
            <w:r>
              <w:t>110020 易方达沪深300ETF联接A</w:t>
            </w:r>
          </w:p>
        </w:tc>
        <w:tc>
          <w:tcPr>
            <w:tcW w:type="dxa" w:w="1728"/>
          </w:tcPr>
          <w:p>
            <w:r>
              <w:t>2</w:t>
            </w:r>
          </w:p>
        </w:tc>
        <w:tc>
          <w:tcPr>
            <w:tcW w:type="dxa" w:w="1728"/>
          </w:tcPr>
          <w:p>
            <w:r>
              <w:t>2</w:t>
            </w:r>
          </w:p>
        </w:tc>
        <w:tc>
          <w:tcPr>
            <w:tcW w:type="dxa" w:w="1728"/>
          </w:tcPr>
          <w:p>
            <w:r>
              <w:t>2</w:t>
            </w:r>
          </w:p>
        </w:tc>
        <w:tc>
          <w:tcPr>
            <w:tcW w:type="dxa" w:w="1728"/>
          </w:tcPr>
          <w:p>
            <w:r>
              <w:t>0</w:t>
            </w:r>
          </w:p>
        </w:tc>
      </w:tr>
      <w:tr>
        <w:tc>
          <w:tcPr>
            <w:tcW w:type="dxa" w:w="1728"/>
          </w:tcPr>
          <w:p>
            <w:r>
              <w:t>000051 华夏沪深300ETF联接A</w:t>
            </w:r>
          </w:p>
        </w:tc>
        <w:tc>
          <w:tcPr>
            <w:tcW w:type="dxa" w:w="1728"/>
          </w:tcPr>
          <w:p>
            <w:r>
              <w:t>3</w:t>
            </w:r>
          </w:p>
        </w:tc>
        <w:tc>
          <w:tcPr>
            <w:tcW w:type="dxa" w:w="1728"/>
          </w:tcPr>
          <w:p>
            <w:r>
              <w:t>3</w:t>
            </w:r>
          </w:p>
        </w:tc>
        <w:tc>
          <w:tcPr>
            <w:tcW w:type="dxa" w:w="1728"/>
          </w:tcPr>
          <w:p>
            <w:r>
              <w:t>3</w:t>
            </w:r>
          </w:p>
        </w:tc>
        <w:tc>
          <w:tcPr>
            <w:tcW w:type="dxa" w:w="1728"/>
          </w:tcPr>
          <w:p>
            <w:r>
              <w:t>0</w:t>
            </w:r>
          </w:p>
        </w:tc>
      </w:tr>
      <w:tr>
        <w:tc>
          <w:tcPr>
            <w:tcW w:type="dxa" w:w="1728"/>
          </w:tcPr>
          <w:p>
            <w:r>
              <w:t>005918 天弘沪深300ETF联接C</w:t>
            </w:r>
          </w:p>
        </w:tc>
        <w:tc>
          <w:tcPr>
            <w:tcW w:type="dxa" w:w="1728"/>
          </w:tcPr>
          <w:p>
            <w:r>
              <w:t>4</w:t>
            </w:r>
          </w:p>
        </w:tc>
        <w:tc>
          <w:tcPr>
            <w:tcW w:type="dxa" w:w="1728"/>
          </w:tcPr>
          <w:p>
            <w:r>
              <w:t>4</w:t>
            </w:r>
          </w:p>
        </w:tc>
        <w:tc>
          <w:tcPr>
            <w:tcW w:type="dxa" w:w="1728"/>
          </w:tcPr>
          <w:p>
            <w:r>
              <w:t>4</w:t>
            </w:r>
          </w:p>
        </w:tc>
        <w:tc>
          <w:tcPr>
            <w:tcW w:type="dxa" w:w="1728"/>
          </w:tcPr>
          <w:p>
            <w:r>
              <w:t>0</w:t>
            </w:r>
          </w:p>
        </w:tc>
      </w:tr>
      <w:tr>
        <w:tc>
          <w:tcPr>
            <w:tcW w:type="dxa" w:w="1728"/>
          </w:tcPr>
          <w:p>
            <w:r>
              <w:t>000071 华夏恒生ETF联接A</w:t>
            </w:r>
          </w:p>
        </w:tc>
        <w:tc>
          <w:tcPr>
            <w:tcW w:type="dxa" w:w="1728"/>
          </w:tcPr>
          <w:p>
            <w:r>
              <w:t>5</w:t>
            </w:r>
          </w:p>
        </w:tc>
        <w:tc>
          <w:tcPr>
            <w:tcW w:type="dxa" w:w="1728"/>
          </w:tcPr>
          <w:p>
            <w:r>
              <w:t>5</w:t>
            </w:r>
          </w:p>
        </w:tc>
        <w:tc>
          <w:tcPr>
            <w:tcW w:type="dxa" w:w="1728"/>
          </w:tcPr>
          <w:p>
            <w:r>
              <w:t>5</w:t>
            </w:r>
          </w:p>
        </w:tc>
        <w:tc>
          <w:tcPr>
            <w:tcW w:type="dxa" w:w="1728"/>
          </w:tcPr>
          <w:p>
            <w:r>
              <w:t>0</w:t>
            </w:r>
          </w:p>
        </w:tc>
      </w:tr>
    </w:tbl>
    <w:p>
      <w:pPr>
        <w:pStyle w:val="Heading2"/>
      </w:pPr>
      <w:r>
        <w:t>模型解释</w:t>
      </w:r>
    </w:p>
    <w:p>
      <w:r>
        <w:t>权重并不是客观唯一的参数，而是投资者风险偏好的表达。因此我没有只给出一组排名，而是设计了多种风险偏好画像，并比较排名变化。如果某只基金在不同画像下都排名靠前，说明它的综合表现相对稳健；如果排名波动很大，说明它可能依赖某类特定指标，例如高收益或低回撤。</w:t>
      </w:r>
    </w:p>
    <w:p>
      <w:r>
        <w:br w:type="page"/>
      </w:r>
    </w:p>
    <w:p>
      <w:pPr>
        <w:pStyle w:val="Heading1"/>
      </w:pPr>
      <w:r>
        <w:t>权重扰动稳健性报告</w:t>
      </w:r>
    </w:p>
    <w:p>
      <w:pPr>
        <w:pStyle w:val="Heading1"/>
      </w:pPr>
      <w:r>
        <w:t>Monte Carlo 权重扰动稳健性分析</w:t>
      </w:r>
    </w:p>
    <w:p>
      <w:r>
        <w:t>本分析以当前投资者画像权重为中心，随机生成附近权重组合并重复评分，观察基金排名是否稳定。</w:t>
      </w:r>
    </w:p>
    <w:p>
      <w:pPr>
        <w:pStyle w:val="ListBullet"/>
      </w:pPr>
      <w:r>
        <w:t>TopK入选频率：进入 Top 5 的比例。</w:t>
      </w:r>
    </w:p>
    <w:p>
      <w:pPr>
        <w:pStyle w:val="ListBullet"/>
      </w:pPr>
      <w:r>
        <w:t>排名中位数：多次扰动后的排名中位数。</w:t>
      </w:r>
    </w:p>
    <w:p>
      <w:pPr>
        <w:pStyle w:val="ListBullet"/>
      </w:pPr>
      <w:r>
        <w:t>Rank IQR：排名四分位区间，区间越窄说明越稳健。</w:t>
      </w:r>
    </w:p>
    <w:p>
      <w:pPr>
        <w:pStyle w:val="Heading2"/>
      </w:pPr>
      <w:r>
        <w:t>稳健性较强的基金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基金</w:t>
            </w:r>
          </w:p>
        </w:tc>
        <w:tc>
          <w:tcPr>
            <w:tcW w:type="dxa" w:w="2160"/>
          </w:tcPr>
          <w:p>
            <w:r>
              <w:rPr>
                <w:b/>
              </w:rPr>
              <w:t>TopK入选频率</w:t>
            </w:r>
          </w:p>
        </w:tc>
        <w:tc>
          <w:tcPr>
            <w:tcW w:type="dxa" w:w="2160"/>
          </w:tcPr>
          <w:p>
            <w:r>
              <w:rPr>
                <w:b/>
              </w:rPr>
              <w:t>排名中位数</w:t>
            </w:r>
          </w:p>
        </w:tc>
        <w:tc>
          <w:tcPr>
            <w:tcW w:type="dxa" w:w="2160"/>
          </w:tcPr>
          <w:p>
            <w:r>
              <w:rPr>
                <w:b/>
              </w:rPr>
              <w:t>Rank IQR</w:t>
            </w:r>
          </w:p>
        </w:tc>
      </w:tr>
      <w:tr>
        <w:tc>
          <w:tcPr>
            <w:tcW w:type="dxa" w:w="2160"/>
          </w:tcPr>
          <w:p>
            <w:r>
              <w:t>001052 华夏中证500ETF联接A</w:t>
            </w:r>
          </w:p>
        </w:tc>
        <w:tc>
          <w:tcPr>
            <w:tcW w:type="dxa" w:w="2160"/>
          </w:tcPr>
          <w:p>
            <w:r>
              <w:t>100.0%</w:t>
            </w:r>
          </w:p>
        </w:tc>
        <w:tc>
          <w:tcPr>
            <w:tcW w:type="dxa" w:w="2160"/>
          </w:tcPr>
          <w:p>
            <w:r>
              <w:t>1</w:t>
            </w:r>
          </w:p>
        </w:tc>
        <w:tc>
          <w:tcPr>
            <w:tcW w:type="dxa" w:w="2160"/>
          </w:tcPr>
          <w:p>
            <w:r>
              <w:t>1-1</w:t>
            </w:r>
          </w:p>
        </w:tc>
      </w:tr>
      <w:tr>
        <w:tc>
          <w:tcPr>
            <w:tcW w:type="dxa" w:w="2160"/>
          </w:tcPr>
          <w:p>
            <w:r>
              <w:t>110020 易方达沪深300ETF联接A</w:t>
            </w:r>
          </w:p>
        </w:tc>
        <w:tc>
          <w:tcPr>
            <w:tcW w:type="dxa" w:w="2160"/>
          </w:tcPr>
          <w:p>
            <w:r>
              <w:t>100.0%</w:t>
            </w:r>
          </w:p>
        </w:tc>
        <w:tc>
          <w:tcPr>
            <w:tcW w:type="dxa" w:w="2160"/>
          </w:tcPr>
          <w:p>
            <w:r>
              <w:t>2</w:t>
            </w:r>
          </w:p>
        </w:tc>
        <w:tc>
          <w:tcPr>
            <w:tcW w:type="dxa" w:w="2160"/>
          </w:tcPr>
          <w:p>
            <w:r>
              <w:t>2-2</w:t>
            </w:r>
          </w:p>
        </w:tc>
      </w:tr>
      <w:tr>
        <w:tc>
          <w:tcPr>
            <w:tcW w:type="dxa" w:w="2160"/>
          </w:tcPr>
          <w:p>
            <w:r>
              <w:t>000051 华夏沪深300ETF联接A</w:t>
            </w:r>
          </w:p>
        </w:tc>
        <w:tc>
          <w:tcPr>
            <w:tcW w:type="dxa" w:w="2160"/>
          </w:tcPr>
          <w:p>
            <w:r>
              <w:t>100.0%</w:t>
            </w:r>
          </w:p>
        </w:tc>
        <w:tc>
          <w:tcPr>
            <w:tcW w:type="dxa" w:w="2160"/>
          </w:tcPr>
          <w:p>
            <w:r>
              <w:t>3</w:t>
            </w:r>
          </w:p>
        </w:tc>
        <w:tc>
          <w:tcPr>
            <w:tcW w:type="dxa" w:w="2160"/>
          </w:tcPr>
          <w:p>
            <w:r>
              <w:t>3-3</w:t>
            </w:r>
          </w:p>
        </w:tc>
      </w:tr>
      <w:tr>
        <w:tc>
          <w:tcPr>
            <w:tcW w:type="dxa" w:w="2160"/>
          </w:tcPr>
          <w:p>
            <w:r>
              <w:t>005918 天弘沪深300ETF联接C</w:t>
            </w:r>
          </w:p>
        </w:tc>
        <w:tc>
          <w:tcPr>
            <w:tcW w:type="dxa" w:w="2160"/>
          </w:tcPr>
          <w:p>
            <w:r>
              <w:t>100.0%</w:t>
            </w:r>
          </w:p>
        </w:tc>
        <w:tc>
          <w:tcPr>
            <w:tcW w:type="dxa" w:w="2160"/>
          </w:tcPr>
          <w:p>
            <w:r>
              <w:t>4</w:t>
            </w:r>
          </w:p>
        </w:tc>
        <w:tc>
          <w:tcPr>
            <w:tcW w:type="dxa" w:w="2160"/>
          </w:tcPr>
          <w:p>
            <w:r>
              <w:t>4-4</w:t>
            </w:r>
          </w:p>
        </w:tc>
      </w:tr>
      <w:tr>
        <w:tc>
          <w:tcPr>
            <w:tcW w:type="dxa" w:w="2160"/>
          </w:tcPr>
          <w:p>
            <w:r>
              <w:t>000071 华夏恒生ETF联接A</w:t>
            </w:r>
          </w:p>
        </w:tc>
        <w:tc>
          <w:tcPr>
            <w:tcW w:type="dxa" w:w="2160"/>
          </w:tcPr>
          <w:p>
            <w:r>
              <w:t>100.0%</w:t>
            </w:r>
          </w:p>
        </w:tc>
        <w:tc>
          <w:tcPr>
            <w:tcW w:type="dxa" w:w="2160"/>
          </w:tcPr>
          <w:p>
            <w:r>
              <w:t>5</w:t>
            </w:r>
          </w:p>
        </w:tc>
        <w:tc>
          <w:tcPr>
            <w:tcW w:type="dxa" w:w="2160"/>
          </w:tcPr>
          <w:p>
            <w:r>
              <w:t>5-5</w:t>
            </w:r>
          </w:p>
        </w:tc>
      </w:tr>
    </w:tbl>
    <w:p>
      <w:r>
        <w:br w:type="page"/>
      </w:r>
    </w:p>
    <w:p>
      <w:pPr>
        <w:pStyle w:val="Heading1"/>
      </w:pPr>
      <w:r>
        <w:t>研究附录</w:t>
      </w:r>
    </w:p>
    <w:p>
      <w:pPr>
        <w:pStyle w:val="Heading1"/>
      </w:pPr>
      <w:r>
        <w:t>研究附录</w:t>
      </w:r>
    </w:p>
    <w:p>
      <w:pPr>
        <w:pStyle w:val="Heading2"/>
      </w:pPr>
      <w:r>
        <w:t>定位</w:t>
      </w:r>
    </w:p>
    <w:p>
      <w:r>
        <w:t>本附录不构成真实收益预测模型。future_score_proxy 是基于历史指标构造的代理目标，用于演示如何把额外特征接入项目。</w:t>
      </w:r>
    </w:p>
    <w:p>
      <w:pPr>
        <w:pStyle w:val="Heading2"/>
      </w:pPr>
      <w:r>
        <w:t>名称关键词示例</w:t>
      </w:r>
    </w:p>
    <w:p>
      <w:r>
        <w:t>系统会从基金名称中提取关键词，例如成长、优势、精选、稳健、消费、债券、新兴、产业、指数，并形成一个名称关键词示例特征。该特征不等同于基于基金季报或公告文本构建的正式文本因子。</w:t>
      </w:r>
    </w:p>
    <w:p>
      <w:pPr>
        <w:pStyle w:val="Heading2"/>
      </w:pPr>
      <w:r>
        <w:t>可解释模型</w:t>
      </w:r>
    </w:p>
    <w:p>
      <w:r>
        <w:t>这里使用标准化线性模型近似解释各特征对代理目标的影响。系数绝对值越大，表示该特征在当前样本中的解释权重越高。</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因子</w:t>
            </w:r>
          </w:p>
        </w:tc>
        <w:tc>
          <w:tcPr>
            <w:tcW w:type="dxa" w:w="2880"/>
          </w:tcPr>
          <w:p>
            <w:r>
              <w:rPr>
                <w:b/>
              </w:rPr>
              <w:t>系数</w:t>
            </w:r>
          </w:p>
        </w:tc>
        <w:tc>
          <w:tcPr>
            <w:tcW w:type="dxa" w:w="2880"/>
          </w:tcPr>
          <w:p>
            <w:r>
              <w:rPr>
                <w:b/>
              </w:rPr>
              <w:t>绝对重要性</w:t>
            </w:r>
          </w:p>
        </w:tc>
      </w:tr>
      <w:tr>
        <w:tc>
          <w:tcPr>
            <w:tcW w:type="dxa" w:w="2880"/>
          </w:tcPr>
          <w:p>
            <w:r>
              <w:t>rolling_positive_ratio</w:t>
            </w:r>
          </w:p>
        </w:tc>
        <w:tc>
          <w:tcPr>
            <w:tcW w:type="dxa" w:w="2880"/>
          </w:tcPr>
          <w:p>
            <w:r>
              <w:t>2.2046</w:t>
            </w:r>
          </w:p>
        </w:tc>
        <w:tc>
          <w:tcPr>
            <w:tcW w:type="dxa" w:w="2880"/>
          </w:tcPr>
          <w:p>
            <w:r>
              <w:t>2.2046</w:t>
            </w:r>
          </w:p>
        </w:tc>
      </w:tr>
      <w:tr>
        <w:tc>
          <w:tcPr>
            <w:tcW w:type="dxa" w:w="2880"/>
          </w:tcPr>
          <w:p>
            <w:r>
              <w:t>annual_volatility</w:t>
            </w:r>
          </w:p>
        </w:tc>
        <w:tc>
          <w:tcPr>
            <w:tcW w:type="dxa" w:w="2880"/>
          </w:tcPr>
          <w:p>
            <w:r>
              <w:t>1.5984</w:t>
            </w:r>
          </w:p>
        </w:tc>
        <w:tc>
          <w:tcPr>
            <w:tcW w:type="dxa" w:w="2880"/>
          </w:tcPr>
          <w:p>
            <w:r>
              <w:t>1.5984</w:t>
            </w:r>
          </w:p>
        </w:tc>
      </w:tr>
      <w:tr>
        <w:tc>
          <w:tcPr>
            <w:tcW w:type="dxa" w:w="2880"/>
          </w:tcPr>
          <w:p>
            <w:r>
              <w:t>calmar</w:t>
            </w:r>
          </w:p>
        </w:tc>
        <w:tc>
          <w:tcPr>
            <w:tcW w:type="dxa" w:w="2880"/>
          </w:tcPr>
          <w:p>
            <w:r>
              <w:t>-1.0472</w:t>
            </w:r>
          </w:p>
        </w:tc>
        <w:tc>
          <w:tcPr>
            <w:tcW w:type="dxa" w:w="2880"/>
          </w:tcPr>
          <w:p>
            <w:r>
              <w:t>1.0472</w:t>
            </w:r>
          </w:p>
        </w:tc>
      </w:tr>
      <w:tr>
        <w:tc>
          <w:tcPr>
            <w:tcW w:type="dxa" w:w="2880"/>
          </w:tcPr>
          <w:p>
            <w:r>
              <w:t>annual_return</w:t>
            </w:r>
          </w:p>
        </w:tc>
        <w:tc>
          <w:tcPr>
            <w:tcW w:type="dxa" w:w="2880"/>
          </w:tcPr>
          <w:p>
            <w:r>
              <w:t>-0.9877</w:t>
            </w:r>
          </w:p>
        </w:tc>
        <w:tc>
          <w:tcPr>
            <w:tcW w:type="dxa" w:w="2880"/>
          </w:tcPr>
          <w:p>
            <w:r>
              <w:t>0.9877</w:t>
            </w:r>
          </w:p>
        </w:tc>
      </w:tr>
      <w:tr>
        <w:tc>
          <w:tcPr>
            <w:tcW w:type="dxa" w:w="2880"/>
          </w:tcPr>
          <w:p>
            <w:r>
              <w:t>max_drawdown</w:t>
            </w:r>
          </w:p>
        </w:tc>
        <w:tc>
          <w:tcPr>
            <w:tcW w:type="dxa" w:w="2880"/>
          </w:tcPr>
          <w:p>
            <w:r>
              <w:t>0.7069</w:t>
            </w:r>
          </w:p>
        </w:tc>
        <w:tc>
          <w:tcPr>
            <w:tcW w:type="dxa" w:w="2880"/>
          </w:tcPr>
          <w:p>
            <w:r>
              <w:t>0.7069</w:t>
            </w:r>
          </w:p>
        </w:tc>
      </w:tr>
      <w:tr>
        <w:tc>
          <w:tcPr>
            <w:tcW w:type="dxa" w:w="2880"/>
          </w:tcPr>
          <w:p>
            <w:r>
              <w:t>sharpe</w:t>
            </w:r>
          </w:p>
        </w:tc>
        <w:tc>
          <w:tcPr>
            <w:tcW w:type="dxa" w:w="2880"/>
          </w:tcPr>
          <w:p>
            <w:r>
              <w:t>-0.4305</w:t>
            </w:r>
          </w:p>
        </w:tc>
        <w:tc>
          <w:tcPr>
            <w:tcW w:type="dxa" w:w="2880"/>
          </w:tcPr>
          <w:p>
            <w:r>
              <w:t>0.4305</w:t>
            </w:r>
          </w:p>
        </w:tc>
      </w:tr>
      <w:tr>
        <w:tc>
          <w:tcPr>
            <w:tcW w:type="dxa" w:w="2880"/>
          </w:tcPr>
          <w:p>
            <w:r>
              <w:t>text_factor</w:t>
            </w:r>
          </w:p>
        </w:tc>
        <w:tc>
          <w:tcPr>
            <w:tcW w:type="dxa" w:w="2880"/>
          </w:tcPr>
          <w:p>
            <w:r>
              <w:t>0.0000</w:t>
            </w:r>
          </w:p>
        </w:tc>
        <w:tc>
          <w:tcPr>
            <w:tcW w:type="dxa" w:w="2880"/>
          </w:tcPr>
          <w:p>
            <w:r>
              <w:t>0.0000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