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16" w:firstLineChars="80"/>
        <w:jc w:val="center"/>
        <w:rPr>
          <w:rFonts w:ascii="微软雅黑" w:hAnsi="微软雅黑"/>
          <w:sz w:val="52"/>
          <w:szCs w:val="52"/>
        </w:rPr>
      </w:pPr>
      <w:bookmarkStart w:id="4" w:name="_GoBack"/>
      <w:bookmarkEnd w:id="4"/>
      <w:bookmarkStart w:id="0" w:name="_Toc17304"/>
    </w:p>
    <w:p>
      <w:pPr>
        <w:ind w:firstLine="416" w:firstLineChars="80"/>
        <w:jc w:val="center"/>
        <w:rPr>
          <w:rFonts w:ascii="微软雅黑" w:hAnsi="微软雅黑"/>
          <w:sz w:val="52"/>
          <w:szCs w:val="52"/>
        </w:rPr>
      </w:pPr>
    </w:p>
    <w:p>
      <w:pPr>
        <w:ind w:firstLine="416" w:firstLineChars="80"/>
        <w:jc w:val="center"/>
        <w:rPr>
          <w:rFonts w:hint="eastAsia" w:ascii="微软雅黑" w:hAnsi="微软雅黑"/>
          <w:sz w:val="52"/>
          <w:szCs w:val="52"/>
        </w:rPr>
      </w:pPr>
      <w:r>
        <w:rPr>
          <w:rFonts w:hint="eastAsia" w:ascii="微软雅黑" w:hAnsi="微软雅黑"/>
          <w:sz w:val="52"/>
          <w:szCs w:val="52"/>
        </w:rPr>
        <w:t>软件成分分析系统</w:t>
      </w:r>
    </w:p>
    <w:p>
      <w:pPr>
        <w:ind w:firstLine="1040"/>
        <w:jc w:val="center"/>
        <w:rPr>
          <w:rFonts w:ascii="微软雅黑" w:hAnsi="微软雅黑"/>
          <w:sz w:val="52"/>
          <w:szCs w:val="52"/>
        </w:rPr>
      </w:pPr>
    </w:p>
    <w:p>
      <w:pPr>
        <w:ind w:firstLine="1040"/>
        <w:jc w:val="center"/>
        <w:rPr>
          <w:rFonts w:ascii="微软雅黑" w:hAnsi="微软雅黑"/>
          <w:sz w:val="52"/>
          <w:szCs w:val="52"/>
        </w:rPr>
      </w:pPr>
    </w:p>
    <w:p>
      <w:pPr>
        <w:ind w:firstLine="1040"/>
        <w:jc w:val="center"/>
        <w:rPr>
          <w:rFonts w:ascii="微软雅黑" w:hAnsi="微软雅黑"/>
          <w:sz w:val="52"/>
          <w:szCs w:val="52"/>
        </w:rPr>
      </w:pPr>
    </w:p>
    <w:p>
      <w:pPr>
        <w:ind w:left="302" w:firstLine="3057" w:firstLineChars="588"/>
        <w:rPr>
          <w:rFonts w:ascii="微软雅黑" w:hAnsi="微软雅黑"/>
          <w:sz w:val="52"/>
          <w:szCs w:val="52"/>
        </w:rPr>
      </w:pPr>
      <w:r>
        <w:rPr>
          <w:rFonts w:hint="eastAsia" w:ascii="微软雅黑" w:hAnsi="微软雅黑"/>
          <w:sz w:val="52"/>
          <w:szCs w:val="52"/>
        </w:rPr>
        <w:t>技术白皮书</w:t>
      </w:r>
    </w:p>
    <w:p>
      <w:pPr>
        <w:ind w:firstLine="1040"/>
        <w:jc w:val="center"/>
        <w:rPr>
          <w:rFonts w:ascii="微软雅黑" w:hAnsi="微软雅黑"/>
          <w:sz w:val="52"/>
          <w:szCs w:val="52"/>
        </w:rPr>
      </w:pPr>
    </w:p>
    <w:p>
      <w:pPr>
        <w:ind w:firstLine="1040"/>
        <w:jc w:val="center"/>
        <w:rPr>
          <w:rFonts w:ascii="微软雅黑" w:hAnsi="微软雅黑"/>
          <w:sz w:val="52"/>
          <w:szCs w:val="52"/>
        </w:rPr>
      </w:pPr>
    </w:p>
    <w:p>
      <w:pPr>
        <w:ind w:firstLine="880"/>
        <w:jc w:val="center"/>
        <w:rPr>
          <w:rFonts w:ascii="微软雅黑" w:hAnsi="微软雅黑"/>
          <w:sz w:val="44"/>
          <w:szCs w:val="44"/>
        </w:rPr>
      </w:pPr>
      <w:r>
        <w:rPr>
          <w:rFonts w:hint="eastAsia" w:ascii="微软雅黑" w:hAnsi="微软雅黑"/>
          <w:sz w:val="44"/>
          <w:szCs w:val="44"/>
        </w:rPr>
        <w:t>杭州孝道科技有限公司</w:t>
      </w:r>
    </w:p>
    <w:tbl>
      <w:tblPr>
        <w:tblStyle w:val="23"/>
        <w:tblpPr w:leftFromText="180" w:rightFromText="180" w:vertAnchor="text" w:horzAnchor="page" w:tblpX="1470" w:tblpY="440"/>
        <w:tblOverlap w:val="never"/>
        <w:tblW w:w="9180" w:type="dxa"/>
        <w:tblInd w:w="0" w:type="dxa"/>
        <w:tblBorders>
          <w:top w:val="none" w:color="auto" w:sz="0" w:space="0"/>
          <w:left w:val="none" w:color="auto" w:sz="0" w:space="0"/>
          <w:bottom w:val="none" w:color="auto" w:sz="0" w:space="0"/>
          <w:right w:val="none" w:color="auto" w:sz="0" w:space="0"/>
          <w:insideH w:val="thinThickSmallGap" w:color="C00000" w:sz="12" w:space="0"/>
          <w:insideV w:val="none" w:color="auto" w:sz="0" w:space="0"/>
        </w:tblBorders>
        <w:tblLayout w:type="fixed"/>
        <w:tblCellMar>
          <w:top w:w="0" w:type="dxa"/>
          <w:left w:w="108" w:type="dxa"/>
          <w:bottom w:w="0" w:type="dxa"/>
          <w:right w:w="108" w:type="dxa"/>
        </w:tblCellMar>
      </w:tblPr>
      <w:tblGrid>
        <w:gridCol w:w="9180"/>
      </w:tblGrid>
      <w:tr>
        <w:tblPrEx>
          <w:tblBorders>
            <w:top w:val="none" w:color="auto" w:sz="0" w:space="0"/>
            <w:left w:val="none" w:color="auto" w:sz="0" w:space="0"/>
            <w:bottom w:val="none" w:color="auto" w:sz="0" w:space="0"/>
            <w:right w:val="none" w:color="auto" w:sz="0" w:space="0"/>
            <w:insideH w:val="thinThickSmallGap" w:color="C00000" w:sz="12" w:space="0"/>
            <w:insideV w:val="none" w:color="auto" w:sz="0" w:space="0"/>
          </w:tblBorders>
        </w:tblPrEx>
        <w:trPr>
          <w:trHeight w:val="89" w:hRule="atLeast"/>
        </w:trPr>
        <w:tc>
          <w:tcPr>
            <w:tcW w:w="9180" w:type="dxa"/>
          </w:tcPr>
          <w:p>
            <w:pPr>
              <w:ind w:firstLine="400"/>
              <w:rPr>
                <w:rFonts w:ascii="微软雅黑" w:hAnsi="微软雅黑"/>
                <w:sz w:val="20"/>
                <w:szCs w:val="21"/>
              </w:rPr>
            </w:pPr>
          </w:p>
        </w:tc>
      </w:tr>
    </w:tbl>
    <w:p>
      <w:pPr>
        <w:rPr>
          <w:rFonts w:ascii="微软雅黑" w:hAnsi="微软雅黑"/>
          <w:sz w:val="52"/>
          <w:szCs w:val="52"/>
        </w:rPr>
      </w:pPr>
    </w:p>
    <w:tbl>
      <w:tblPr>
        <w:tblStyle w:val="23"/>
        <w:tblpPr w:leftFromText="180" w:rightFromText="180" w:vertAnchor="text" w:horzAnchor="page" w:tblpX="1789" w:tblpY="-564"/>
        <w:tblOverlap w:val="never"/>
        <w:tblW w:w="8949" w:type="dxa"/>
        <w:tblInd w:w="0" w:type="dxa"/>
        <w:tblBorders>
          <w:top w:val="thinThickSmallGap" w:color="000000" w:themeColor="text1" w:sz="24" w:space="0"/>
          <w:left w:val="none" w:color="auto" w:sz="0" w:space="0"/>
          <w:bottom w:val="thinThickSmallGap" w:color="000000" w:themeColor="text1" w:sz="24" w:space="0"/>
          <w:right w:val="none" w:color="auto" w:sz="0" w:space="0"/>
          <w:insideH w:val="single" w:color="C00000" w:sz="4" w:space="0"/>
          <w:insideV w:val="none" w:color="auto" w:sz="0" w:space="0"/>
        </w:tblBorders>
        <w:tblLayout w:type="fixed"/>
        <w:tblCellMar>
          <w:top w:w="0" w:type="dxa"/>
          <w:left w:w="108" w:type="dxa"/>
          <w:bottom w:w="0" w:type="dxa"/>
          <w:right w:w="108" w:type="dxa"/>
        </w:tblCellMar>
      </w:tblPr>
      <w:tblGrid>
        <w:gridCol w:w="4820"/>
        <w:gridCol w:w="4129"/>
      </w:tblGrid>
      <w:tr>
        <w:tblPrEx>
          <w:tblBorders>
            <w:top w:val="thinThickSmallGap" w:color="000000" w:themeColor="text1" w:sz="24" w:space="0"/>
            <w:left w:val="none" w:color="auto" w:sz="0" w:space="0"/>
            <w:bottom w:val="thinThickSmallGap" w:color="000000" w:themeColor="text1" w:sz="24" w:space="0"/>
            <w:right w:val="none" w:color="auto" w:sz="0" w:space="0"/>
            <w:insideH w:val="single" w:color="C00000" w:sz="4" w:space="0"/>
            <w:insideV w:val="none" w:color="auto" w:sz="0" w:space="0"/>
          </w:tblBorders>
        </w:tblPrEx>
        <w:trPr>
          <w:trHeight w:val="567" w:hRule="atLeast"/>
        </w:trPr>
        <w:tc>
          <w:tcPr>
            <w:tcW w:w="4820" w:type="dxa"/>
          </w:tcPr>
          <w:p>
            <w:pPr>
              <w:ind w:firstLine="420"/>
              <w:rPr>
                <w:rFonts w:ascii="微软雅黑" w:hAnsi="微软雅黑"/>
                <w:szCs w:val="21"/>
              </w:rPr>
            </w:pPr>
            <w:r>
              <w:rPr>
                <w:rFonts w:hint="eastAsia" w:ascii="微软雅黑" w:hAnsi="微软雅黑"/>
                <w:szCs w:val="21"/>
              </w:rPr>
              <w:t>█文档编号 XDKJ-</w:t>
            </w:r>
            <w:r>
              <w:rPr>
                <w:rFonts w:hint="eastAsia" w:ascii="微软雅黑" w:hAnsi="微软雅黑"/>
                <w:szCs w:val="21"/>
                <w:lang w:val="en-US" w:eastAsia="zh-Hans"/>
              </w:rPr>
              <w:t>SCA</w:t>
            </w:r>
            <w:r>
              <w:rPr>
                <w:rFonts w:ascii="微软雅黑" w:hAnsi="微软雅黑"/>
                <w:szCs w:val="21"/>
              </w:rPr>
              <w:t>20211215</w:t>
            </w:r>
          </w:p>
        </w:tc>
        <w:tc>
          <w:tcPr>
            <w:tcW w:w="4129" w:type="dxa"/>
          </w:tcPr>
          <w:p>
            <w:pPr>
              <w:ind w:firstLine="420"/>
              <w:rPr>
                <w:rFonts w:ascii="微软雅黑" w:hAnsi="微软雅黑"/>
                <w:szCs w:val="21"/>
              </w:rPr>
            </w:pPr>
            <w:r>
              <w:rPr>
                <w:rFonts w:hint="eastAsia" w:ascii="微软雅黑" w:hAnsi="微软雅黑"/>
                <w:szCs w:val="21"/>
              </w:rPr>
              <w:t>█密级 有限公开</w:t>
            </w:r>
          </w:p>
        </w:tc>
      </w:tr>
      <w:tr>
        <w:tblPrEx>
          <w:tblBorders>
            <w:top w:val="thinThickSmallGap" w:color="000000" w:themeColor="text1" w:sz="24" w:space="0"/>
            <w:left w:val="none" w:color="auto" w:sz="0" w:space="0"/>
            <w:bottom w:val="thinThickSmallGap" w:color="000000" w:themeColor="text1" w:sz="24" w:space="0"/>
            <w:right w:val="none" w:color="auto" w:sz="0" w:space="0"/>
            <w:insideH w:val="single" w:color="C00000" w:sz="4" w:space="0"/>
            <w:insideV w:val="none" w:color="auto" w:sz="0" w:space="0"/>
          </w:tblBorders>
        </w:tblPrEx>
        <w:trPr>
          <w:trHeight w:val="567" w:hRule="atLeast"/>
        </w:trPr>
        <w:tc>
          <w:tcPr>
            <w:tcW w:w="4820" w:type="dxa"/>
          </w:tcPr>
          <w:p>
            <w:pPr>
              <w:ind w:firstLine="420"/>
              <w:rPr>
                <w:rFonts w:ascii="微软雅黑" w:hAnsi="微软雅黑"/>
                <w:szCs w:val="21"/>
              </w:rPr>
            </w:pPr>
            <w:r>
              <w:rPr>
                <w:rFonts w:hint="eastAsia" w:ascii="微软雅黑" w:hAnsi="微软雅黑"/>
                <w:szCs w:val="21"/>
              </w:rPr>
              <w:t xml:space="preserve">█版本编号 </w:t>
            </w:r>
            <w:r>
              <w:rPr>
                <w:rFonts w:ascii="微软雅黑" w:hAnsi="微软雅黑"/>
                <w:szCs w:val="21"/>
              </w:rPr>
              <w:t>1.0</w:t>
            </w:r>
          </w:p>
        </w:tc>
        <w:tc>
          <w:tcPr>
            <w:tcW w:w="4129" w:type="dxa"/>
          </w:tcPr>
          <w:p>
            <w:pPr>
              <w:ind w:firstLine="420"/>
              <w:rPr>
                <w:rFonts w:ascii="微软雅黑" w:hAnsi="微软雅黑"/>
                <w:szCs w:val="21"/>
              </w:rPr>
            </w:pPr>
            <w:r>
              <w:rPr>
                <w:rFonts w:hint="eastAsia" w:ascii="微软雅黑" w:hAnsi="微软雅黑"/>
                <w:szCs w:val="21"/>
              </w:rPr>
              <w:t xml:space="preserve">█日期 </w:t>
            </w:r>
            <w:r>
              <w:rPr>
                <w:rFonts w:ascii="微软雅黑" w:hAnsi="微软雅黑"/>
                <w:szCs w:val="21"/>
              </w:rPr>
              <w:t>2021/12/15</w:t>
            </w:r>
          </w:p>
        </w:tc>
      </w:tr>
    </w:tbl>
    <w:sdt>
      <w:sdtPr>
        <w:rPr>
          <w:rFonts w:ascii="微软雅黑" w:hAnsi="微软雅黑" w:eastAsia="微软雅黑" w:cstheme="minorBidi"/>
          <w:color w:val="auto"/>
          <w:kern w:val="2"/>
          <w:sz w:val="21"/>
          <w:szCs w:val="22"/>
          <w:lang w:val="zh-CN"/>
        </w:rPr>
        <w:id w:val="1733891340"/>
      </w:sdtPr>
      <w:sdtEndPr>
        <w:rPr>
          <w:rFonts w:ascii="微软雅黑" w:hAnsi="微软雅黑" w:eastAsia="微软雅黑" w:cs="宋体"/>
          <w:b/>
          <w:bCs/>
          <w:color w:val="auto"/>
          <w:kern w:val="0"/>
          <w:sz w:val="21"/>
          <w:szCs w:val="21"/>
          <w:lang w:val="zh-CN"/>
        </w:rPr>
      </w:sdtEndPr>
      <w:sdtContent>
        <w:p>
          <w:pPr>
            <w:pStyle w:val="32"/>
            <w:spacing w:line="276" w:lineRule="auto"/>
            <w:ind w:firstLine="420"/>
            <w:jc w:val="center"/>
            <w:rPr>
              <w:rFonts w:ascii="微软雅黑" w:hAnsi="微软雅黑" w:eastAsia="微软雅黑"/>
              <w:sz w:val="28"/>
              <w:szCs w:val="21"/>
            </w:rPr>
          </w:pPr>
          <w:r>
            <w:rPr>
              <w:rFonts w:ascii="微软雅黑" w:hAnsi="微软雅黑" w:eastAsia="微软雅黑"/>
              <w:b/>
              <w:sz w:val="28"/>
              <w:szCs w:val="21"/>
              <w:lang w:val="zh-CN"/>
            </w:rPr>
            <w:t>目录</w:t>
          </w:r>
        </w:p>
        <w:p>
          <w:pPr>
            <w:pStyle w:val="15"/>
            <w:tabs>
              <w:tab w:val="left" w:pos="420"/>
              <w:tab w:val="right" w:leader="dot" w:pos="8296"/>
            </w:tabs>
            <w:spacing w:line="480" w:lineRule="auto"/>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TOC \o "1-3" \h \z \u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"_Toc83397242"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1</w:t>
          </w:r>
          <w:r>
            <w:rPr>
              <w:rFonts w:hint="eastAsia" w:ascii="宋体" w:hAnsi="宋体" w:eastAsia="宋体" w:cs="宋体"/>
              <w:b/>
              <w:bCs/>
              <w:kern w:val="2"/>
              <w:sz w:val="24"/>
              <w:szCs w:val="24"/>
            </w:rPr>
            <w:tab/>
          </w:r>
          <w:r>
            <w:rPr>
              <w:rStyle w:val="21"/>
              <w:rFonts w:hint="eastAsia" w:ascii="宋体" w:hAnsi="宋体" w:eastAsia="宋体" w:cs="宋体"/>
              <w:b/>
              <w:bCs/>
              <w:sz w:val="24"/>
              <w:szCs w:val="24"/>
            </w:rPr>
            <w:t>背景</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_Toc83397242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pStyle w:val="17"/>
            <w:tabs>
              <w:tab w:val="left" w:pos="1260"/>
              <w:tab w:val="right" w:leader="dot" w:pos="8296"/>
            </w:tabs>
            <w:spacing w:line="480" w:lineRule="auto"/>
            <w:ind w:left="480"/>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"_Toc83397243"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1.1</w:t>
          </w:r>
          <w:r>
            <w:rPr>
              <w:rFonts w:hint="eastAsia" w:ascii="宋体" w:hAnsi="宋体" w:eastAsia="宋体" w:cs="宋体"/>
              <w:b/>
              <w:bCs/>
              <w:kern w:val="2"/>
              <w:sz w:val="24"/>
              <w:szCs w:val="24"/>
            </w:rPr>
            <w:tab/>
          </w:r>
          <w:r>
            <w:rPr>
              <w:rStyle w:val="21"/>
              <w:rFonts w:hint="eastAsia" w:ascii="宋体" w:hAnsi="宋体" w:eastAsia="宋体" w:cs="宋体"/>
              <w:b/>
              <w:bCs/>
              <w:sz w:val="24"/>
              <w:szCs w:val="24"/>
            </w:rPr>
            <w:t>安全形势</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_Toc83397243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pStyle w:val="17"/>
            <w:tabs>
              <w:tab w:val="left" w:pos="1260"/>
              <w:tab w:val="right" w:leader="dot" w:pos="8296"/>
            </w:tabs>
            <w:spacing w:line="480" w:lineRule="auto"/>
            <w:ind w:left="480"/>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"_Toc83397244"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1.2</w:t>
          </w:r>
          <w:r>
            <w:rPr>
              <w:rFonts w:hint="eastAsia" w:ascii="宋体" w:hAnsi="宋体" w:eastAsia="宋体" w:cs="宋体"/>
              <w:b/>
              <w:bCs/>
              <w:kern w:val="2"/>
              <w:sz w:val="24"/>
              <w:szCs w:val="24"/>
            </w:rPr>
            <w:tab/>
          </w:r>
          <w:r>
            <w:rPr>
              <w:rStyle w:val="21"/>
              <w:rFonts w:hint="eastAsia" w:ascii="宋体" w:hAnsi="宋体" w:eastAsia="宋体" w:cs="宋体"/>
              <w:b/>
              <w:bCs/>
              <w:sz w:val="24"/>
              <w:szCs w:val="24"/>
            </w:rPr>
            <w:t>传统设备的局限性</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_Toc83397244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4</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pStyle w:val="15"/>
            <w:tabs>
              <w:tab w:val="left" w:pos="420"/>
              <w:tab w:val="right" w:leader="dot" w:pos="8296"/>
            </w:tabs>
            <w:spacing w:line="480" w:lineRule="auto"/>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"_Toc83397245"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2</w:t>
          </w:r>
          <w:r>
            <w:rPr>
              <w:rFonts w:hint="eastAsia" w:ascii="宋体" w:hAnsi="宋体" w:eastAsia="宋体" w:cs="宋体"/>
              <w:b/>
              <w:bCs/>
              <w:kern w:val="2"/>
              <w:sz w:val="24"/>
              <w:szCs w:val="24"/>
            </w:rPr>
            <w:tab/>
          </w:r>
          <w:r>
            <w:rPr>
              <w:rStyle w:val="21"/>
              <w:rFonts w:hint="eastAsia" w:ascii="宋体" w:hAnsi="宋体" w:eastAsia="宋体" w:cs="宋体"/>
              <w:b/>
              <w:bCs/>
              <w:sz w:val="24"/>
              <w:szCs w:val="24"/>
            </w:rPr>
            <w:t>RASP简介</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_Toc83397245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4</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pStyle w:val="17"/>
            <w:tabs>
              <w:tab w:val="left" w:pos="1260"/>
              <w:tab w:val="right" w:leader="dot" w:pos="8296"/>
            </w:tabs>
            <w:spacing w:line="480" w:lineRule="auto"/>
            <w:ind w:left="480"/>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"_Toc83397246"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2.1</w:t>
          </w:r>
          <w:r>
            <w:rPr>
              <w:rFonts w:hint="eastAsia" w:ascii="宋体" w:hAnsi="宋体" w:eastAsia="宋体" w:cs="宋体"/>
              <w:b/>
              <w:bCs/>
              <w:kern w:val="2"/>
              <w:sz w:val="24"/>
              <w:szCs w:val="24"/>
            </w:rPr>
            <w:tab/>
          </w:r>
          <w:r>
            <w:rPr>
              <w:rStyle w:val="21"/>
              <w:rFonts w:hint="eastAsia" w:ascii="宋体" w:hAnsi="宋体" w:eastAsia="宋体" w:cs="宋体"/>
              <w:b/>
              <w:bCs/>
              <w:sz w:val="24"/>
              <w:szCs w:val="24"/>
            </w:rPr>
            <w:t>RASP起源</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_Toc83397246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4</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pStyle w:val="17"/>
            <w:tabs>
              <w:tab w:val="left" w:pos="1260"/>
              <w:tab w:val="right" w:leader="dot" w:pos="8296"/>
            </w:tabs>
            <w:spacing w:line="480" w:lineRule="auto"/>
            <w:ind w:left="480"/>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"_Toc83397247"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2.2</w:t>
          </w:r>
          <w:r>
            <w:rPr>
              <w:rFonts w:hint="eastAsia" w:ascii="宋体" w:hAnsi="宋体" w:eastAsia="宋体" w:cs="宋体"/>
              <w:b/>
              <w:bCs/>
              <w:kern w:val="2"/>
              <w:sz w:val="24"/>
              <w:szCs w:val="24"/>
            </w:rPr>
            <w:tab/>
          </w:r>
          <w:r>
            <w:rPr>
              <w:rStyle w:val="21"/>
              <w:rFonts w:hint="eastAsia" w:ascii="宋体" w:hAnsi="宋体" w:eastAsia="宋体" w:cs="宋体"/>
              <w:b/>
              <w:bCs/>
              <w:sz w:val="24"/>
              <w:szCs w:val="24"/>
            </w:rPr>
            <w:t>RASP VS WAF</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_Toc83397247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5</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pStyle w:val="15"/>
            <w:tabs>
              <w:tab w:val="right" w:leader="dot" w:pos="8296"/>
            </w:tabs>
            <w:spacing w:line="480" w:lineRule="auto"/>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"_Toc83397248"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3 产品介绍</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_Toc83397248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6</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pStyle w:val="17"/>
            <w:tabs>
              <w:tab w:val="right" w:leader="dot" w:pos="8296"/>
            </w:tabs>
            <w:spacing w:line="480" w:lineRule="auto"/>
            <w:ind w:left="480"/>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"_Toc83397249"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3.1 产品架构</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_Toc83397249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6</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pStyle w:val="17"/>
            <w:tabs>
              <w:tab w:val="right" w:leader="dot" w:pos="8296"/>
            </w:tabs>
            <w:spacing w:line="480" w:lineRule="auto"/>
            <w:ind w:left="480"/>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"_Toc83397250"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3.2 基本原理</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_Toc83397250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7</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pStyle w:val="17"/>
            <w:tabs>
              <w:tab w:val="right" w:leader="dot" w:pos="8296"/>
            </w:tabs>
            <w:spacing w:line="480" w:lineRule="auto"/>
            <w:ind w:left="480"/>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"_Toc83397251"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3.3产品主要功能</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_Toc83397251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8</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pStyle w:val="10"/>
            <w:spacing w:line="480" w:lineRule="auto"/>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"_Toc83397252"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3.3.1控制中心</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_Toc83397252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8</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pStyle w:val="10"/>
            <w:spacing w:line="480" w:lineRule="auto"/>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"_Toc83397253"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3.3.2攻击分析</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_Toc83397253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11</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pStyle w:val="10"/>
            <w:spacing w:line="480" w:lineRule="auto"/>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"_Toc83397254"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3.3.3补丁管理</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_Toc83397254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16</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pStyle w:val="10"/>
            <w:spacing w:line="480" w:lineRule="auto"/>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"_Toc83397255"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3.3.4安全报告</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_Toc83397255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18</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pStyle w:val="10"/>
            <w:spacing w:line="480" w:lineRule="auto"/>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"_Toc83397256"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3.3.5系统配置</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_Toc83397256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20</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pStyle w:val="10"/>
            <w:spacing w:line="480" w:lineRule="auto"/>
            <w:rPr>
              <w:rFonts w:hint="eastAsia" w:ascii="宋体" w:hAnsi="宋体" w:eastAsia="宋体" w:cs="宋体"/>
              <w:b/>
              <w:bCs/>
              <w:kern w:val="2"/>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"_Toc83397257" </w:instrText>
          </w:r>
          <w:r>
            <w:rPr>
              <w:rFonts w:hint="eastAsia" w:ascii="宋体" w:hAnsi="宋体" w:eastAsia="宋体" w:cs="宋体"/>
              <w:b/>
              <w:bCs/>
              <w:sz w:val="24"/>
              <w:szCs w:val="24"/>
            </w:rPr>
            <w:fldChar w:fldCharType="separate"/>
          </w:r>
          <w:r>
            <w:rPr>
              <w:rStyle w:val="21"/>
              <w:rFonts w:hint="eastAsia" w:ascii="宋体" w:hAnsi="宋体" w:eastAsia="宋体" w:cs="宋体"/>
              <w:b/>
              <w:bCs/>
              <w:sz w:val="24"/>
              <w:szCs w:val="24"/>
            </w:rPr>
            <w:t>3.3.5后台管理</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_Toc83397257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21</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pPr>
            <w:spacing w:line="480" w:lineRule="auto"/>
            <w:jc w:val="distribute"/>
            <w:rPr>
              <w:rFonts w:ascii="微软雅黑" w:hAnsi="微软雅黑"/>
              <w:b/>
              <w:bCs/>
              <w:sz w:val="21"/>
              <w:szCs w:val="21"/>
              <w:lang w:val="zh-CN"/>
            </w:rPr>
          </w:pPr>
          <w:r>
            <w:rPr>
              <w:rFonts w:hint="eastAsia" w:ascii="宋体" w:hAnsi="宋体" w:eastAsia="宋体" w:cs="宋体"/>
              <w:b/>
              <w:bCs/>
              <w:sz w:val="24"/>
              <w:szCs w:val="24"/>
              <w:lang w:val="zh-CN"/>
            </w:rPr>
            <w:fldChar w:fldCharType="end"/>
          </w:r>
        </w:p>
      </w:sdtContent>
    </w:sdt>
    <w:p/>
    <w:p>
      <w:r>
        <w:br w:type="page"/>
      </w:r>
    </w:p>
    <w:p>
      <w:pPr>
        <w:pStyle w:val="2"/>
        <w:widowControl w:val="0"/>
        <w:numPr>
          <w:ilvl w:val="0"/>
          <w:numId w:val="3"/>
        </w:numPr>
        <w:jc w:val="both"/>
        <w:rPr>
          <w:rFonts w:ascii="微软雅黑" w:hAnsi="微软雅黑" w:cstheme="minorBidi"/>
          <w:sz w:val="36"/>
        </w:rPr>
      </w:pPr>
      <w:bookmarkStart w:id="1" w:name="_Toc83397242"/>
      <w:r>
        <w:rPr>
          <w:rFonts w:hint="eastAsia" w:ascii="微软雅黑" w:hAnsi="微软雅黑" w:cstheme="minorBidi"/>
          <w:sz w:val="36"/>
        </w:rPr>
        <w:t>背景</w:t>
      </w:r>
      <w:bookmarkEnd w:id="1"/>
    </w:p>
    <w:p>
      <w:pPr>
        <w:ind w:firstLine="420"/>
        <w:rPr>
          <w:rFonts w:ascii="微软雅黑" w:hAnsi="微软雅黑"/>
        </w:rPr>
      </w:pPr>
      <w:r>
        <w:rPr>
          <w:rFonts w:hint="eastAsia" w:ascii="微软雅黑" w:hAnsi="微软雅黑"/>
        </w:rPr>
        <w:t>近年来，网络犯罪和网络安全事件频发，网络攻击者善于利用创新和技术进步发现新漏洞并躲避安全检测，企业网络安全形势严峻。根据报告，近年来开源软件漏洞整体呈增长趋势。</w:t>
      </w:r>
    </w:p>
    <w:p>
      <w:pPr>
        <w:rPr>
          <w:rFonts w:ascii="微软雅黑" w:hAnsi="微软雅黑"/>
        </w:rPr>
      </w:pPr>
      <w:r>
        <w:rPr>
          <w:rFonts w:ascii="微软雅黑" w:hAnsi="微软雅黑"/>
        </w:rPr>
        <w:drawing>
          <wp:inline distT="0" distB="0" distL="0" distR="0">
            <wp:extent cx="5274310" cy="3986530"/>
            <wp:effectExtent l="0" t="0" r="254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5274310" cy="3986530"/>
                    </a:xfrm>
                    <a:prstGeom prst="rect">
                      <a:avLst/>
                    </a:prstGeom>
                  </pic:spPr>
                </pic:pic>
              </a:graphicData>
            </a:graphic>
          </wp:inline>
        </w:drawing>
      </w:r>
    </w:p>
    <w:p>
      <w:pPr>
        <w:ind w:firstLine="420"/>
        <w:rPr>
          <w:rFonts w:ascii="微软雅黑" w:hAnsi="微软雅黑"/>
          <w:szCs w:val="52"/>
        </w:rPr>
      </w:pPr>
      <w:r>
        <w:rPr>
          <w:rFonts w:hint="eastAsia" w:ascii="微软雅黑" w:hAnsi="微软雅黑"/>
          <w:szCs w:val="52"/>
        </w:rPr>
        <w:t>Gartner调查显示，全球90%以上的企业内部都包含开源软件。由于现代应用程序的开发会引用大量第三方组件实现快速交付，软件供应链日趋复杂，安全风险不断加剧，近年来全球针对软件供应链的攻击事件也频频发生。</w:t>
      </w:r>
    </w:p>
    <w:p>
      <w:pPr>
        <w:ind w:firstLine="420"/>
        <w:rPr>
          <w:rFonts w:ascii="微软雅黑" w:hAnsi="微软雅黑"/>
          <w:szCs w:val="52"/>
        </w:rPr>
      </w:pPr>
      <w:r>
        <w:rPr>
          <w:rFonts w:hint="eastAsia" w:ascii="微软雅黑" w:hAnsi="微软雅黑"/>
          <w:szCs w:val="52"/>
        </w:rPr>
        <w:t>调查结果显示，2020年新增漏洞中，高危漏洞占比最高，数量为1826个；超危漏洞逐年递增，2020 年数量有所下降，环比下降53%，2019年新增数量最多，新增数量为468个；高危漏洞逐年递增，2020年增长速度最快，相比去年增加2.62倍；中危漏洞呈现平稳增长趋势，2018年增长速度最快，环比增长率为48.13%；低危漏洞逐年递增，2020年增长速度有所下降，2019年新增数量最多，新增数量为171个。</w:t>
      </w:r>
      <w:bookmarkEnd w:id="0"/>
    </w:p>
    <w:p>
      <w:pPr>
        <w:pStyle w:val="2"/>
        <w:spacing w:line="360" w:lineRule="auto"/>
        <w:rPr>
          <w:rFonts w:hint="eastAsia" w:ascii="微软雅黑" w:hAnsi="微软雅黑"/>
        </w:rPr>
      </w:pPr>
      <w:bookmarkStart w:id="2" w:name="_Toc83397248"/>
      <w:r>
        <w:rPr>
          <w:rFonts w:ascii="微软雅黑" w:hAnsi="微软雅黑"/>
        </w:rPr>
        <w:t xml:space="preserve">2 </w:t>
      </w:r>
      <w:r>
        <w:rPr>
          <w:rFonts w:hint="eastAsia" w:ascii="微软雅黑" w:hAnsi="微软雅黑"/>
        </w:rPr>
        <w:t>产品介绍</w:t>
      </w:r>
      <w:bookmarkEnd w:id="2"/>
    </w:p>
    <w:p>
      <w:pPr>
        <w:pStyle w:val="3"/>
        <w:rPr>
          <w:rFonts w:ascii="微软雅黑" w:hAnsi="微软雅黑" w:eastAsia="微软雅黑"/>
        </w:rPr>
      </w:pPr>
      <w:r>
        <w:rPr>
          <w:rFonts w:hint="eastAsia" w:ascii="微软雅黑" w:hAnsi="微软雅黑" w:eastAsia="微软雅黑"/>
        </w:rPr>
        <w:t>2</w:t>
      </w:r>
      <w:r>
        <w:rPr>
          <w:rFonts w:ascii="微软雅黑" w:hAnsi="微软雅黑" w:eastAsia="微软雅黑"/>
        </w:rPr>
        <w:t>.1</w:t>
      </w:r>
      <w:r>
        <w:rPr>
          <w:rFonts w:hint="eastAsia" w:ascii="微软雅黑" w:hAnsi="微软雅黑" w:eastAsia="微软雅黑"/>
        </w:rPr>
        <w:t>产品方案</w:t>
      </w:r>
    </w:p>
    <w:p>
      <w:pPr>
        <w:pStyle w:val="4"/>
        <w:spacing w:line="360" w:lineRule="auto"/>
        <w:rPr>
          <w:rFonts w:ascii="微软雅黑" w:hAnsi="微软雅黑"/>
          <w:sz w:val="28"/>
          <w:szCs w:val="28"/>
        </w:rPr>
      </w:pPr>
      <w:r>
        <w:rPr>
          <w:rFonts w:hint="eastAsia" w:ascii="微软雅黑" w:hAnsi="微软雅黑"/>
          <w:sz w:val="28"/>
          <w:szCs w:val="28"/>
        </w:rPr>
        <w:t>2</w:t>
      </w:r>
      <w:r>
        <w:rPr>
          <w:rFonts w:ascii="微软雅黑" w:hAnsi="微软雅黑"/>
          <w:sz w:val="28"/>
          <w:szCs w:val="28"/>
        </w:rPr>
        <w:t xml:space="preserve">.1.1 </w:t>
      </w:r>
      <w:r>
        <w:rPr>
          <w:rFonts w:hint="eastAsia" w:ascii="微软雅黑" w:hAnsi="微软雅黑"/>
          <w:sz w:val="28"/>
          <w:szCs w:val="28"/>
        </w:rPr>
        <w:t>产品</w:t>
      </w:r>
      <w:r>
        <w:rPr>
          <w:rFonts w:ascii="微软雅黑" w:hAnsi="微软雅黑"/>
          <w:sz w:val="28"/>
          <w:szCs w:val="28"/>
        </w:rPr>
        <w:t>设计原则</w:t>
      </w:r>
    </w:p>
    <w:p>
      <w:pPr>
        <w:pStyle w:val="8"/>
        <w:ind w:firstLine="480"/>
      </w:pPr>
      <w:r>
        <w:rPr>
          <w:rFonts w:hint="eastAsia"/>
        </w:rPr>
        <w:t>杭州孝道科技</w:t>
      </w:r>
      <w:r>
        <w:t>为</w:t>
      </w:r>
      <w:r>
        <w:rPr>
          <w:rFonts w:hint="eastAsia"/>
        </w:rPr>
        <w:t>始终保持产品的质量和行业领先水平，遵循以下设计原则：</w:t>
      </w:r>
    </w:p>
    <w:p>
      <w:pPr>
        <w:pStyle w:val="8"/>
        <w:numPr>
          <w:ilvl w:val="0"/>
          <w:numId w:val="4"/>
        </w:numPr>
        <w:ind w:left="1380" w:firstLineChars="0"/>
      </w:pPr>
      <w:r>
        <w:rPr>
          <w:rFonts w:hint="eastAsia"/>
        </w:rPr>
        <w:t>创新性原则：安全检测技术的选择必须采用成熟、具有国内先进水平，并符合安全行业发展趋势的技术，保证产品具有较长的生命力。</w:t>
      </w:r>
    </w:p>
    <w:p>
      <w:pPr>
        <w:pStyle w:val="8"/>
        <w:numPr>
          <w:ilvl w:val="0"/>
          <w:numId w:val="4"/>
        </w:numPr>
        <w:ind w:left="1380" w:firstLineChars="0"/>
      </w:pPr>
      <w:r>
        <w:rPr>
          <w:rFonts w:hint="eastAsia"/>
        </w:rPr>
        <w:t>场景化原则：系统设计必须契合应用系统开发安全真实应用场景，切实提高用户开展开发安全项目的实际价值。同时，要考虑用户已有的工作流程，产品方案需对现有流程的改动程度小。</w:t>
      </w:r>
    </w:p>
    <w:p>
      <w:pPr>
        <w:pStyle w:val="8"/>
        <w:numPr>
          <w:ilvl w:val="0"/>
          <w:numId w:val="4"/>
        </w:numPr>
        <w:ind w:left="1380" w:firstLineChars="0"/>
      </w:pPr>
      <w:r>
        <w:rPr>
          <w:rFonts w:hint="eastAsia"/>
        </w:rPr>
        <w:t>可靠性原则：系统设计需考虑到各种产品运行失败的情形，必须设计相关技术和方案，避免产品失败导致用户正常生产的中断。</w:t>
      </w:r>
    </w:p>
    <w:p>
      <w:pPr>
        <w:pStyle w:val="8"/>
        <w:numPr>
          <w:ilvl w:val="0"/>
          <w:numId w:val="4"/>
        </w:numPr>
        <w:ind w:left="1380" w:firstLineChars="0"/>
      </w:pPr>
      <w:r>
        <w:rPr>
          <w:rFonts w:hint="eastAsia"/>
        </w:rPr>
        <w:t>易用性原则：系统在设计上要充分考虑用户界面的友好。系统需有良好的整体化设计，同时应有完善的帮助系统。</w:t>
      </w:r>
    </w:p>
    <w:p>
      <w:pPr>
        <w:pStyle w:val="8"/>
        <w:numPr>
          <w:ilvl w:val="0"/>
          <w:numId w:val="4"/>
        </w:numPr>
        <w:ind w:left="1380" w:firstLineChars="0"/>
      </w:pPr>
      <w:r>
        <w:rPr>
          <w:rFonts w:hint="eastAsia"/>
        </w:rPr>
        <w:t>兼容性</w:t>
      </w:r>
      <w:r>
        <w:t>原则：系统设计时应充分预留本系统与其他系统的数据接口。能够方便实现与用户现有开发平台的数据交互和互操作。</w:t>
      </w:r>
    </w:p>
    <w:p>
      <w:pPr>
        <w:pStyle w:val="8"/>
        <w:numPr>
          <w:ilvl w:val="0"/>
          <w:numId w:val="4"/>
        </w:numPr>
        <w:ind w:left="1380" w:firstLineChars="0"/>
      </w:pPr>
      <w:r>
        <w:t>可扩展性原则：系统设计时应考虑未来功能需求的新增，应预留相应的升级方式，使系统</w:t>
      </w:r>
      <w:r>
        <w:rPr>
          <w:rFonts w:hint="eastAsia"/>
        </w:rPr>
        <w:t>能够实现平滑的版本升级。</w:t>
      </w:r>
    </w:p>
    <w:p>
      <w:pPr>
        <w:pStyle w:val="4"/>
        <w:spacing w:line="360" w:lineRule="auto"/>
        <w:rPr>
          <w:rFonts w:ascii="微软雅黑" w:hAnsi="微软雅黑"/>
          <w:sz w:val="28"/>
          <w:szCs w:val="28"/>
        </w:rPr>
      </w:pPr>
      <w:bookmarkStart w:id="3" w:name="_Hlk91011175"/>
      <w:r>
        <w:rPr>
          <w:rFonts w:hint="eastAsia" w:ascii="微软雅黑" w:hAnsi="微软雅黑"/>
          <w:sz w:val="28"/>
          <w:szCs w:val="28"/>
        </w:rPr>
        <w:t>2</w:t>
      </w:r>
      <w:r>
        <w:rPr>
          <w:rFonts w:ascii="微软雅黑" w:hAnsi="微软雅黑"/>
          <w:sz w:val="28"/>
          <w:szCs w:val="28"/>
        </w:rPr>
        <w:t xml:space="preserve">.1.2 </w:t>
      </w:r>
      <w:r>
        <w:rPr>
          <w:rFonts w:hint="eastAsia" w:ascii="微软雅黑" w:hAnsi="微软雅黑"/>
          <w:sz w:val="28"/>
          <w:szCs w:val="28"/>
        </w:rPr>
        <w:t>产品主要功能</w:t>
      </w:r>
    </w:p>
    <w:p>
      <w:pPr>
        <w:pStyle w:val="5"/>
      </w:pPr>
      <w:r>
        <w:rPr>
          <w:rFonts w:hint="eastAsia"/>
        </w:rPr>
        <w:t>2</w:t>
      </w:r>
      <w:r>
        <w:t>.1.2.1</w:t>
      </w:r>
      <w:r>
        <w:rPr>
          <w:rFonts w:hint="eastAsia"/>
        </w:rPr>
        <w:t>第三方开源组件选型</w:t>
      </w:r>
    </w:p>
    <w:p>
      <w:pPr>
        <w:pStyle w:val="46"/>
      </w:pPr>
      <w:r>
        <w:rPr>
          <w:rFonts w:hint="eastAsia"/>
        </w:rPr>
        <w:t>在测试或者交付验收环节，针对开源安全风险进行处臵往往会投入更大的工作量和成本。通过使用左移开源安全治理工具的方式，将开源安全风险治理集成到软件开发全生命 周期过程中。在需求设计、组件选型、编码集成等早期研发过程中及早发现开源风险问题，从而降低开源安全治理成本。</w:t>
      </w:r>
    </w:p>
    <w:p>
      <w:pPr>
        <w:pStyle w:val="46"/>
      </w:pPr>
      <w:r>
        <w:rPr>
          <w:rFonts w:hint="eastAsia"/>
        </w:rPr>
        <w:t>向左移（Shift Left）是在软件开发过程早期尽可能多地检测问题的核心理念。问题组件在软件选型阶段就得到规避，可以减少90%的修复成本。安全玻璃盒开发的SCA收集海量知识库，已收录740w+组件数据、17w+组件漏洞数据，精准识别组件以及漏洞信息，轻松完成组件选型。</w:t>
      </w:r>
    </w:p>
    <w:p>
      <w:pPr>
        <w:pStyle w:val="46"/>
        <w:ind w:firstLine="0" w:firstLineChars="0"/>
      </w:pPr>
      <w:r>
        <w:drawing>
          <wp:inline distT="0" distB="0" distL="114300" distR="114300">
            <wp:extent cx="4987925" cy="2637790"/>
            <wp:effectExtent l="0" t="0" r="3175" b="10160"/>
            <wp:docPr id="2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
                    <pic:cNvPicPr>
                      <a:picLocks noChangeAspect="1"/>
                    </pic:cNvPicPr>
                  </pic:nvPicPr>
                  <pic:blipFill>
                    <a:blip r:embed="rId11"/>
                    <a:stretch>
                      <a:fillRect/>
                    </a:stretch>
                  </pic:blipFill>
                  <pic:spPr>
                    <a:xfrm>
                      <a:off x="0" y="0"/>
                      <a:ext cx="4987925" cy="2637790"/>
                    </a:xfrm>
                    <a:prstGeom prst="rect">
                      <a:avLst/>
                    </a:prstGeom>
                  </pic:spPr>
                </pic:pic>
              </a:graphicData>
            </a:graphic>
          </wp:inline>
        </w:drawing>
      </w:r>
    </w:p>
    <w:p>
      <w:pPr>
        <w:pStyle w:val="5"/>
      </w:pPr>
      <w:r>
        <w:rPr>
          <w:rFonts w:hint="eastAsia"/>
        </w:rPr>
        <w:t>2</w:t>
      </w:r>
      <w:r>
        <w:t>.1.2.2</w:t>
      </w:r>
      <w:r>
        <w:rPr>
          <w:rFonts w:hint="eastAsia"/>
        </w:rPr>
        <w:t>第三方开源组件检测</w:t>
      </w:r>
    </w:p>
    <w:p>
      <w:pPr>
        <w:pStyle w:val="46"/>
      </w:pPr>
      <w:r>
        <w:rPr>
          <w:rFonts w:hint="eastAsia"/>
        </w:rPr>
        <w:t>开源组件生态蓬勃发展，重要原因是组件独立、可复用。组件化可以大幅度提高开发效率、可测试性、可复用性、提升应用性能。同时，随着开源组件的广泛使用，一旦组件发现安全漏洞，必将给开发、安全团队带来严峻的挑战。然而，开源漏洞信息往往散落分布在各大社区，很多漏洞信息不能及时被官方收录。 同时，对于软件使用者，由于缺少漏洞信息跟踪能力，使得漏洞修复具有滞后性，提升了软件被攻击的风险，为软件供应链安全管控增加了难度。</w:t>
      </w:r>
    </w:p>
    <w:p>
      <w:pPr>
        <w:pStyle w:val="46"/>
      </w:pPr>
      <w:r>
        <w:rPr>
          <w:rFonts w:hint="eastAsia"/>
        </w:rPr>
        <w:t>根据扫描结果对组件的漏洞、许可、合规等进行统计，能够展示</w:t>
      </w:r>
      <w:r>
        <w:t>检测到的</w:t>
      </w:r>
      <w:r>
        <w:rPr>
          <w:rFonts w:hint="eastAsia"/>
        </w:rPr>
        <w:t>三方组件的漏洞分布</w:t>
      </w:r>
      <w:r>
        <w:t>信息，</w:t>
      </w:r>
      <w:r>
        <w:rPr>
          <w:rFonts w:hint="eastAsia"/>
        </w:rPr>
        <w:t>组件的版本、发布日期、推荐修复版本以及组件所用的许可信息</w:t>
      </w:r>
      <w:r>
        <w:t>。</w:t>
      </w:r>
    </w:p>
    <w:p>
      <w:pPr>
        <w:jc w:val="center"/>
        <w:rPr>
          <w:rFonts w:ascii="微软雅黑" w:hAnsi="微软雅黑"/>
          <w:szCs w:val="21"/>
        </w:rPr>
      </w:pPr>
      <w:r>
        <w:drawing>
          <wp:inline distT="0" distB="0" distL="114300" distR="114300">
            <wp:extent cx="5266690" cy="2570480"/>
            <wp:effectExtent l="0" t="0" r="10160" b="1270"/>
            <wp:docPr id="2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9"/>
                    <pic:cNvPicPr>
                      <a:picLocks noChangeAspect="1"/>
                    </pic:cNvPicPr>
                  </pic:nvPicPr>
                  <pic:blipFill>
                    <a:blip r:embed="rId12"/>
                    <a:stretch>
                      <a:fillRect/>
                    </a:stretch>
                  </pic:blipFill>
                  <pic:spPr>
                    <a:xfrm>
                      <a:off x="0" y="0"/>
                      <a:ext cx="5266690" cy="2570480"/>
                    </a:xfrm>
                    <a:prstGeom prst="rect">
                      <a:avLst/>
                    </a:prstGeom>
                    <a:noFill/>
                    <a:ln>
                      <a:noFill/>
                    </a:ln>
                  </pic:spPr>
                </pic:pic>
              </a:graphicData>
            </a:graphic>
          </wp:inline>
        </w:drawing>
      </w:r>
    </w:p>
    <w:p>
      <w:pPr>
        <w:ind w:firstLine="420"/>
        <w:jc w:val="center"/>
        <w:rPr>
          <w:rFonts w:ascii="微软雅黑" w:hAnsi="微软雅黑"/>
          <w:szCs w:val="18"/>
        </w:rPr>
      </w:pPr>
      <w:r>
        <w:rPr>
          <w:rFonts w:hint="eastAsia" w:ascii="微软雅黑" w:hAnsi="微软雅黑"/>
          <w:szCs w:val="18"/>
        </w:rPr>
        <w:t>三方组件列表</w:t>
      </w:r>
    </w:p>
    <w:p>
      <w:pPr>
        <w:pStyle w:val="5"/>
      </w:pPr>
      <w:r>
        <w:rPr>
          <w:rFonts w:hint="eastAsia"/>
        </w:rPr>
        <w:t>2</w:t>
      </w:r>
      <w:r>
        <w:t>.1.2.3</w:t>
      </w:r>
      <w:r>
        <w:rPr>
          <w:rFonts w:hint="eastAsia"/>
        </w:rPr>
        <w:t>第三方开源组件漏洞检测</w:t>
      </w:r>
    </w:p>
    <w:p>
      <w:pPr>
        <w:pStyle w:val="46"/>
      </w:pPr>
      <w:r>
        <w:rPr>
          <w:rFonts w:hint="eastAsia"/>
        </w:rPr>
        <w:t>软件团</w:t>
      </w:r>
      <w:r>
        <w:t>队</w:t>
      </w:r>
      <w:r>
        <w:rPr>
          <w:rFonts w:hint="eastAsia"/>
        </w:rPr>
        <w:t>往往专</w:t>
      </w:r>
      <w:r>
        <w:t>注于</w:t>
      </w:r>
      <w:r>
        <w:rPr>
          <w:rFonts w:hint="eastAsia"/>
        </w:rPr>
        <w:t>业务功能的实现，</w:t>
      </w:r>
      <w:r>
        <w:t>却忽视了对开源组件中已知漏洞的检查。而开源漏洞的风险往往更大，因为其漏洞信息以及如何利用漏洞</w:t>
      </w:r>
      <w:r>
        <w:rPr>
          <w:rFonts w:hint="eastAsia"/>
        </w:rPr>
        <w:t>都是公开的。</w:t>
      </w:r>
      <w:r>
        <w:t>幸而87%的开源漏</w:t>
      </w:r>
      <w:r>
        <w:rPr>
          <w:rFonts w:hint="eastAsia"/>
        </w:rPr>
        <w:t>软</w:t>
      </w:r>
      <w:r>
        <w:t>洞都得到了</w:t>
      </w:r>
      <w:r>
        <w:rPr>
          <w:rFonts w:hint="eastAsia"/>
        </w:rPr>
        <w:t>开源维护者们的修</w:t>
      </w:r>
      <w:r>
        <w:t>补，所以它们又是比较容易</w:t>
      </w:r>
      <w:r>
        <w:rPr>
          <w:rFonts w:hint="eastAsia"/>
        </w:rPr>
        <w:t>被修正的</w:t>
      </w:r>
      <w:r>
        <w:t>。</w:t>
      </w:r>
      <w:r>
        <w:rPr>
          <w:rFonts w:hint="eastAsia"/>
        </w:rPr>
        <w:t>安全玻璃盒开发的SCA产品能在</w:t>
      </w:r>
      <w:r>
        <w:t>软件开发生命周期（SDLC）中做出实时提醒</w:t>
      </w:r>
      <w:r>
        <w:rPr>
          <w:rFonts w:hint="eastAsia"/>
        </w:rPr>
        <w:t>，</w:t>
      </w:r>
      <w:r>
        <w:t>以便</w:t>
      </w:r>
      <w:r>
        <w:rPr>
          <w:rFonts w:hint="eastAsia"/>
        </w:rPr>
        <w:t>用户能</w:t>
      </w:r>
      <w:r>
        <w:t>积极主动地提前修复所有</w:t>
      </w:r>
      <w:r>
        <w:rPr>
          <w:rFonts w:hint="eastAsia"/>
        </w:rPr>
        <w:t>安全</w:t>
      </w:r>
      <w:r>
        <w:t>问题。</w:t>
      </w:r>
    </w:p>
    <w:p>
      <w:pPr>
        <w:pStyle w:val="46"/>
      </w:pPr>
      <w:r>
        <w:rPr>
          <w:rFonts w:hint="eastAsia"/>
        </w:rPr>
        <w:t>在检测完成后，在检测详情中能够展示</w:t>
      </w:r>
      <w:r>
        <w:t>检测到的</w:t>
      </w:r>
      <w:r>
        <w:rPr>
          <w:rFonts w:hint="eastAsia"/>
        </w:rPr>
        <w:t>三方组件的所有</w:t>
      </w:r>
      <w:r>
        <w:t>CNNVD/CVE</w:t>
      </w:r>
      <w:r>
        <w:rPr>
          <w:rFonts w:hint="eastAsia"/>
        </w:rPr>
        <w:t>以及第三方</w:t>
      </w:r>
      <w:r>
        <w:t>的</w:t>
      </w:r>
      <w:r>
        <w:rPr>
          <w:rFonts w:hint="eastAsia"/>
        </w:rPr>
        <w:t>组件漏洞</w:t>
      </w:r>
      <w:r>
        <w:t>信息，包括其官方</w:t>
      </w:r>
      <w:r>
        <w:rPr>
          <w:rFonts w:hint="eastAsia"/>
        </w:rPr>
        <w:t>漏洞细节描述及修复建议</w:t>
      </w:r>
      <w:r>
        <w:t>。</w:t>
      </w:r>
      <w:r>
        <w:rPr>
          <w:rFonts w:hint="eastAsia"/>
        </w:rPr>
        <w:t>另外</w:t>
      </w:r>
      <w:r>
        <w:t>，</w:t>
      </w:r>
      <w:r>
        <w:rPr>
          <w:rFonts w:hint="eastAsia"/>
        </w:rPr>
        <w:t>系统还会</w:t>
      </w:r>
      <w:r>
        <w:t>罗列出</w:t>
      </w:r>
      <w:r>
        <w:rPr>
          <w:rFonts w:hint="eastAsia"/>
        </w:rPr>
        <w:t>包含改漏洞</w:t>
      </w:r>
      <w:r>
        <w:t>组件的所有版本，方便用户修复或替换存在漏洞的组件版本</w:t>
      </w:r>
      <w:r>
        <w:rPr>
          <w:rFonts w:hint="eastAsia"/>
        </w:rPr>
        <w:t>。用户可以根据漏洞是实际情况对漏洞进行审计。</w:t>
      </w:r>
    </w:p>
    <w:p>
      <w:pPr>
        <w:pStyle w:val="46"/>
        <w:ind w:firstLine="0" w:firstLineChars="0"/>
      </w:pPr>
      <w:r>
        <w:rPr>
          <w:rFonts w:hint="eastAsia"/>
        </w:rPr>
        <w:t xml:space="preserve"> </w:t>
      </w:r>
      <w:r>
        <w:drawing>
          <wp:inline distT="0" distB="0" distL="114300" distR="114300">
            <wp:extent cx="5266690" cy="2570480"/>
            <wp:effectExtent l="0" t="0" r="1016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266690" cy="2570480"/>
                    </a:xfrm>
                    <a:prstGeom prst="rect">
                      <a:avLst/>
                    </a:prstGeom>
                    <a:noFill/>
                    <a:ln>
                      <a:noFill/>
                    </a:ln>
                  </pic:spPr>
                </pic:pic>
              </a:graphicData>
            </a:graphic>
          </wp:inline>
        </w:drawing>
      </w:r>
    </w:p>
    <w:p>
      <w:pPr>
        <w:pStyle w:val="5"/>
      </w:pPr>
      <w:r>
        <w:rPr>
          <w:rFonts w:hint="eastAsia"/>
        </w:rPr>
        <w:t>2</w:t>
      </w:r>
      <w:r>
        <w:t>.1.2.4</w:t>
      </w:r>
      <w:r>
        <w:rPr>
          <w:rFonts w:hint="eastAsia"/>
        </w:rPr>
        <w:t>第三方开源组件许可风险检测</w:t>
      </w:r>
    </w:p>
    <w:p>
      <w:pPr>
        <w:pStyle w:val="46"/>
      </w:pPr>
      <w:r>
        <w:rPr>
          <w:rFonts w:hint="eastAsia"/>
        </w:rPr>
        <w:t>大多数开源软件都有其发布许可</w:t>
      </w:r>
      <w:r>
        <w:t>证</w:t>
      </w:r>
      <w:r>
        <w:rPr>
          <w:rFonts w:hint="eastAsia"/>
        </w:rPr>
        <w:t>，如果要使用这些开源软件，应当遵守其许可证（License）的要求，如果在使用开源软件时没有遵守其许可要求的各项义务，就是违规使用开源软件，会造成许可证合规性风险。</w:t>
      </w:r>
    </w:p>
    <w:p>
      <w:pPr>
        <w:pStyle w:val="46"/>
      </w:pPr>
      <w:r>
        <w:rPr>
          <w:rFonts w:hint="eastAsia"/>
        </w:rPr>
        <w:t>开源许可证违规造成的影响可大</w:t>
      </w:r>
      <w:r>
        <w:t>可</w:t>
      </w:r>
      <w:r>
        <w:rPr>
          <w:rFonts w:hint="eastAsia"/>
        </w:rPr>
        <w:t>小，严重时会导致法律诉讼，造成公司产品的召回，被迫开源自有知识产权代码等等，这些事件还可能对公司的声誉，市场准入等造成长期的负面影响。</w:t>
      </w:r>
    </w:p>
    <w:p>
      <w:pPr>
        <w:pStyle w:val="46"/>
      </w:pPr>
      <w:r>
        <w:rPr>
          <w:rFonts w:hint="eastAsia"/>
        </w:rPr>
        <w:t>目前开源许可不同版本的许可类型达几百余种，对用户</w:t>
      </w:r>
      <w:r>
        <w:t>的</w:t>
      </w:r>
      <w:r>
        <w:rPr>
          <w:rFonts w:hint="eastAsia"/>
        </w:rPr>
        <w:t>选择与判断提出</w:t>
      </w:r>
      <w:r>
        <w:t>了</w:t>
      </w:r>
      <w:r>
        <w:rPr>
          <w:rFonts w:hint="eastAsia"/>
        </w:rPr>
        <w:t>非常高的要求，为此安全玻璃系统对几百类许可类型依据商业化方案进行了分类，使用户可以更加容易的做出许可风险的判断。</w:t>
      </w:r>
    </w:p>
    <w:p>
      <w:pPr>
        <w:rPr>
          <w:rFonts w:ascii="微软雅黑" w:hAnsi="微软雅黑"/>
          <w:szCs w:val="21"/>
        </w:rPr>
      </w:pPr>
      <w:r>
        <w:drawing>
          <wp:inline distT="0" distB="0" distL="114300" distR="114300">
            <wp:extent cx="5267960" cy="2569845"/>
            <wp:effectExtent l="0" t="0" r="8890" b="1905"/>
            <wp:docPr id="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1"/>
                    <pic:cNvPicPr>
                      <a:picLocks noChangeAspect="1"/>
                    </pic:cNvPicPr>
                  </pic:nvPicPr>
                  <pic:blipFill>
                    <a:blip r:embed="rId14"/>
                    <a:stretch>
                      <a:fillRect/>
                    </a:stretch>
                  </pic:blipFill>
                  <pic:spPr>
                    <a:xfrm>
                      <a:off x="0" y="0"/>
                      <a:ext cx="5267960" cy="2569845"/>
                    </a:xfrm>
                    <a:prstGeom prst="rect">
                      <a:avLst/>
                    </a:prstGeom>
                    <a:noFill/>
                    <a:ln>
                      <a:noFill/>
                    </a:ln>
                  </pic:spPr>
                </pic:pic>
              </a:graphicData>
            </a:graphic>
          </wp:inline>
        </w:drawing>
      </w:r>
    </w:p>
    <w:p>
      <w:pPr>
        <w:ind w:firstLine="420"/>
        <w:jc w:val="center"/>
        <w:rPr>
          <w:rFonts w:ascii="微软雅黑" w:hAnsi="微软雅黑"/>
        </w:rPr>
      </w:pPr>
      <w:r>
        <w:rPr>
          <w:rFonts w:hint="eastAsia" w:ascii="微软雅黑" w:hAnsi="微软雅黑"/>
          <w:szCs w:val="18"/>
        </w:rPr>
        <w:t>开源许可提示图</w:t>
      </w:r>
    </w:p>
    <w:p>
      <w:pPr>
        <w:pStyle w:val="5"/>
      </w:pPr>
      <w:r>
        <w:rPr>
          <w:rFonts w:hint="eastAsia"/>
        </w:rPr>
        <w:t>2</w:t>
      </w:r>
      <w:r>
        <w:t>.1.2.5</w:t>
      </w:r>
      <w:r>
        <w:rPr>
          <w:rFonts w:hint="eastAsia"/>
        </w:rPr>
        <w:t>项目安全评分</w:t>
      </w:r>
    </w:p>
    <w:p>
      <w:pPr>
        <w:pStyle w:val="46"/>
      </w:pPr>
      <w:r>
        <w:rPr>
          <w:rFonts w:hint="eastAsia"/>
        </w:rPr>
        <w:t>项目安全评分根据项目引用</w:t>
      </w:r>
      <w:r>
        <w:t>的</w:t>
      </w:r>
      <w:r>
        <w:rPr>
          <w:rFonts w:hint="eastAsia"/>
        </w:rPr>
        <w:t>存在漏洞的第三方开源组件的情况进行综合评分，使得安全管理员可以直观的掌握应用安全的状态。对于行业监管机构可以根据安全评分来实行应用安全评级，对行业项目安全进行统一监管与评价，可以促进整体行业项目安全的水平提升。</w:t>
      </w:r>
    </w:p>
    <w:p>
      <w:pPr>
        <w:rPr>
          <w:rFonts w:ascii="微软雅黑" w:hAnsi="微软雅黑"/>
          <w:szCs w:val="21"/>
        </w:rPr>
      </w:pPr>
      <w:r>
        <w:rPr>
          <w:rFonts w:hint="eastAsia" w:ascii="微软雅黑" w:hAnsi="微软雅黑"/>
          <w:szCs w:val="21"/>
        </w:rPr>
        <w:drawing>
          <wp:inline distT="0" distB="0" distL="114300" distR="114300">
            <wp:extent cx="5256530" cy="6037580"/>
            <wp:effectExtent l="0" t="0" r="1270" b="1270"/>
            <wp:docPr id="258" name="图片 258" descr="1主页 – 项目列表-项目详情-展开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descr="1主页 – 项目列表-项目详情-展开 – 1"/>
                    <pic:cNvPicPr>
                      <a:picLocks noChangeAspect="1"/>
                    </pic:cNvPicPr>
                  </pic:nvPicPr>
                  <pic:blipFill>
                    <a:blip r:embed="rId15"/>
                    <a:stretch>
                      <a:fillRect/>
                    </a:stretch>
                  </pic:blipFill>
                  <pic:spPr>
                    <a:xfrm>
                      <a:off x="0" y="0"/>
                      <a:ext cx="5256530" cy="6037580"/>
                    </a:xfrm>
                    <a:prstGeom prst="rect">
                      <a:avLst/>
                    </a:prstGeom>
                  </pic:spPr>
                </pic:pic>
              </a:graphicData>
            </a:graphic>
          </wp:inline>
        </w:drawing>
      </w:r>
    </w:p>
    <w:p>
      <w:pPr>
        <w:ind w:firstLine="420"/>
        <w:jc w:val="center"/>
        <w:rPr>
          <w:rFonts w:ascii="微软雅黑" w:hAnsi="微软雅黑"/>
        </w:rPr>
      </w:pPr>
      <w:r>
        <w:rPr>
          <w:rFonts w:hint="eastAsia" w:ascii="微软雅黑" w:hAnsi="微软雅黑"/>
          <w:szCs w:val="18"/>
        </w:rPr>
        <w:t>应用安全评分图</w:t>
      </w:r>
    </w:p>
    <w:p>
      <w:pPr>
        <w:pStyle w:val="5"/>
      </w:pPr>
      <w:r>
        <w:rPr>
          <w:rFonts w:hint="eastAsia"/>
        </w:rPr>
        <w:t>2</w:t>
      </w:r>
      <w:r>
        <w:t>.1.2.6</w:t>
      </w:r>
      <w:r>
        <w:rPr>
          <w:rFonts w:hint="eastAsia"/>
        </w:rPr>
        <w:t>应用系统合规检测</w:t>
      </w:r>
    </w:p>
    <w:p>
      <w:pPr>
        <w:pStyle w:val="46"/>
      </w:pPr>
      <w:r>
        <w:rPr>
          <w:rFonts w:hint="eastAsia"/>
        </w:rPr>
        <w:t>随着国内越来越多的企业全球化、走出去的脚步不断提升，加速了全球信息一体化的融合，</w:t>
      </w:r>
      <w:r>
        <w:rPr>
          <w:rFonts w:hint="eastAsia"/>
          <w:szCs w:val="24"/>
        </w:rPr>
        <w:t>SCA内置对于商用软件、开源系统以及企业自用软件等类型设计了不同的可贵策略，可以帮助各个行业应用在系统开发阶段更好更快速的找出安全合规的风险问题</w:t>
      </w:r>
      <w:r>
        <w:rPr>
          <w:rFonts w:hint="eastAsia"/>
        </w:rPr>
        <w:t>。</w:t>
      </w:r>
    </w:p>
    <w:p>
      <w:pPr>
        <w:rPr>
          <w:rFonts w:ascii="微软雅黑" w:hAnsi="微软雅黑"/>
          <w:szCs w:val="21"/>
        </w:rPr>
      </w:pPr>
      <w:r>
        <w:drawing>
          <wp:inline distT="0" distB="0" distL="114300" distR="114300">
            <wp:extent cx="5266690" cy="2570480"/>
            <wp:effectExtent l="0" t="0" r="10160" b="12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5266690" cy="2570480"/>
                    </a:xfrm>
                    <a:prstGeom prst="rect">
                      <a:avLst/>
                    </a:prstGeom>
                    <a:noFill/>
                    <a:ln>
                      <a:noFill/>
                    </a:ln>
                  </pic:spPr>
                </pic:pic>
              </a:graphicData>
            </a:graphic>
          </wp:inline>
        </w:drawing>
      </w:r>
    </w:p>
    <w:p>
      <w:pPr>
        <w:ind w:firstLine="420"/>
        <w:jc w:val="center"/>
        <w:rPr>
          <w:rFonts w:hint="eastAsia" w:ascii="微软雅黑" w:hAnsi="微软雅黑"/>
          <w:szCs w:val="18"/>
        </w:rPr>
      </w:pPr>
      <w:r>
        <w:rPr>
          <w:rFonts w:hint="eastAsia" w:ascii="微软雅黑" w:hAnsi="微软雅黑"/>
          <w:szCs w:val="18"/>
        </w:rPr>
        <w:t>合规信息图</w:t>
      </w:r>
    </w:p>
    <w:p>
      <w:pPr>
        <w:jc w:val="both"/>
        <w:rPr>
          <w:rFonts w:hint="eastAsia" w:ascii="微软雅黑" w:hAnsi="微软雅黑"/>
          <w:szCs w:val="18"/>
        </w:rPr>
      </w:pPr>
      <w:r>
        <w:drawing>
          <wp:inline distT="0" distB="0" distL="114300" distR="114300">
            <wp:extent cx="5266690" cy="2570480"/>
            <wp:effectExtent l="0" t="0" r="10160"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7"/>
                    <a:stretch>
                      <a:fillRect/>
                    </a:stretch>
                  </pic:blipFill>
                  <pic:spPr>
                    <a:xfrm>
                      <a:off x="0" y="0"/>
                      <a:ext cx="5266690" cy="2570480"/>
                    </a:xfrm>
                    <a:prstGeom prst="rect">
                      <a:avLst/>
                    </a:prstGeom>
                    <a:noFill/>
                    <a:ln>
                      <a:noFill/>
                    </a:ln>
                  </pic:spPr>
                </pic:pic>
              </a:graphicData>
            </a:graphic>
          </wp:inline>
        </w:drawing>
      </w:r>
    </w:p>
    <w:p>
      <w:pPr>
        <w:pStyle w:val="5"/>
      </w:pPr>
      <w:r>
        <w:t xml:space="preserve">2.1.2.7 </w:t>
      </w:r>
      <w:r>
        <w:rPr>
          <w:rFonts w:hint="eastAsia"/>
        </w:rPr>
        <w:t>报告导出</w:t>
      </w:r>
    </w:p>
    <w:p>
      <w:pPr>
        <w:pStyle w:val="46"/>
      </w:pPr>
      <w:r>
        <w:rPr>
          <w:rFonts w:hint="eastAsia"/>
        </w:rPr>
        <w:t>为</w:t>
      </w:r>
      <w:r>
        <w:t>用户</w:t>
      </w:r>
      <w:r>
        <w:rPr>
          <w:rFonts w:hint="eastAsia"/>
        </w:rPr>
        <w:t>提供了根据扫描结果</w:t>
      </w:r>
      <w:r>
        <w:t>生成报告的功能，您可以在</w:t>
      </w:r>
      <w:r>
        <w:rPr>
          <w:rFonts w:hint="eastAsia"/>
        </w:rPr>
        <w:t>项目中针对不同版本的扫描结果进行导出</w:t>
      </w:r>
      <w:r>
        <w:t>。</w:t>
      </w:r>
    </w:p>
    <w:p>
      <w:pPr>
        <w:pStyle w:val="46"/>
        <w:ind w:left="0" w:leftChars="0" w:firstLine="0" w:firstLineChars="0"/>
      </w:pPr>
      <w:r>
        <w:drawing>
          <wp:inline distT="0" distB="0" distL="114300" distR="114300">
            <wp:extent cx="5266690" cy="2570480"/>
            <wp:effectExtent l="0" t="0" r="1016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266690" cy="2570480"/>
                    </a:xfrm>
                    <a:prstGeom prst="rect">
                      <a:avLst/>
                    </a:prstGeom>
                    <a:noFill/>
                    <a:ln>
                      <a:noFill/>
                    </a:ln>
                  </pic:spPr>
                </pic:pic>
              </a:graphicData>
            </a:graphic>
          </wp:inline>
        </w:drawing>
      </w:r>
    </w:p>
    <w:p>
      <w:pPr>
        <w:pStyle w:val="5"/>
      </w:pPr>
      <w:r>
        <w:rPr>
          <w:rFonts w:hint="eastAsia"/>
        </w:rPr>
        <w:t>2</w:t>
      </w:r>
      <w:r>
        <w:t>.1.2.8</w:t>
      </w:r>
      <w:r>
        <w:rPr>
          <w:rFonts w:hint="eastAsia"/>
        </w:rPr>
        <w:t>系统管理</w:t>
      </w:r>
    </w:p>
    <w:p>
      <w:pPr>
        <w:pStyle w:val="46"/>
      </w:pPr>
      <w:r>
        <w:rPr>
          <w:rFonts w:hint="eastAsia"/>
        </w:rPr>
        <w:t>系统管理功能可以对角色、用户以及部门进行管理。用户管理模块实现了用户的增加、删除、修改、查看信息、用户角色分配等功能；角色管理模块实现了角色的新增、修改和删除，对应角色的权限查看，重新给各个角色分配功能等功能。部门管理模块实现了对公司组织架构业务线部门划分。</w:t>
      </w:r>
    </w:p>
    <w:p/>
    <w:p/>
    <w:p>
      <w:r>
        <w:drawing>
          <wp:inline distT="0" distB="0" distL="114300" distR="114300">
            <wp:extent cx="5266690" cy="2570480"/>
            <wp:effectExtent l="0" t="0" r="10160" b="127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9"/>
                    <a:stretch>
                      <a:fillRect/>
                    </a:stretch>
                  </pic:blipFill>
                  <pic:spPr>
                    <a:xfrm>
                      <a:off x="0" y="0"/>
                      <a:ext cx="5266690" cy="2570480"/>
                    </a:xfrm>
                    <a:prstGeom prst="rect">
                      <a:avLst/>
                    </a:prstGeom>
                    <a:noFill/>
                    <a:ln>
                      <a:noFill/>
                    </a:ln>
                  </pic:spPr>
                </pic:pic>
              </a:graphicData>
            </a:graphic>
          </wp:inline>
        </w:drawing>
      </w:r>
    </w:p>
    <w:p>
      <w:r>
        <w:drawing>
          <wp:inline distT="0" distB="0" distL="114300" distR="114300">
            <wp:extent cx="5266690" cy="2570480"/>
            <wp:effectExtent l="0" t="0" r="10160" b="127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0"/>
                    <a:stretch>
                      <a:fillRect/>
                    </a:stretch>
                  </pic:blipFill>
                  <pic:spPr>
                    <a:xfrm>
                      <a:off x="0" y="0"/>
                      <a:ext cx="5266690" cy="2570480"/>
                    </a:xfrm>
                    <a:prstGeom prst="rect">
                      <a:avLst/>
                    </a:prstGeom>
                    <a:noFill/>
                    <a:ln>
                      <a:noFill/>
                    </a:ln>
                  </pic:spPr>
                </pic:pic>
              </a:graphicData>
            </a:graphic>
          </wp:inline>
        </w:drawing>
      </w:r>
    </w:p>
    <w:p>
      <w:r>
        <w:drawing>
          <wp:inline distT="0" distB="0" distL="114300" distR="114300">
            <wp:extent cx="5266690" cy="2570480"/>
            <wp:effectExtent l="0" t="0" r="10160" b="127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1"/>
                    <a:stretch>
                      <a:fillRect/>
                    </a:stretch>
                  </pic:blipFill>
                  <pic:spPr>
                    <a:xfrm>
                      <a:off x="0" y="0"/>
                      <a:ext cx="5266690" cy="2570480"/>
                    </a:xfrm>
                    <a:prstGeom prst="rect">
                      <a:avLst/>
                    </a:prstGeom>
                    <a:noFill/>
                    <a:ln>
                      <a:noFill/>
                    </a:ln>
                  </pic:spPr>
                </pic:pic>
              </a:graphicData>
            </a:graphic>
          </wp:inline>
        </w:drawing>
      </w:r>
      <w:bookmarkEnd w:id="3"/>
    </w:p>
    <w:p>
      <w:pPr>
        <w:rPr>
          <w:rFonts w:ascii="微软雅黑" w:hAnsi="微软雅黑"/>
          <w:color w:val="000000"/>
          <w:szCs w:val="20"/>
        </w:rPr>
      </w:pPr>
      <w:r>
        <w:br w:type="page"/>
      </w:r>
    </w:p>
    <w:p>
      <w:pPr>
        <w:pStyle w:val="3"/>
        <w:rPr>
          <w:rFonts w:ascii="微软雅黑" w:hAnsi="微软雅黑" w:eastAsia="微软雅黑"/>
        </w:rPr>
      </w:pPr>
      <w:r>
        <w:rPr>
          <w:rFonts w:hint="eastAsia" w:ascii="微软雅黑" w:hAnsi="微软雅黑" w:eastAsia="微软雅黑"/>
        </w:rPr>
        <w:t>2</w:t>
      </w:r>
      <w:r>
        <w:rPr>
          <w:rFonts w:ascii="微软雅黑" w:hAnsi="微软雅黑" w:eastAsia="微软雅黑"/>
        </w:rPr>
        <w:t xml:space="preserve">.2 </w:t>
      </w:r>
      <w:r>
        <w:rPr>
          <w:rFonts w:hint="eastAsia" w:ascii="微软雅黑" w:hAnsi="微软雅黑" w:eastAsia="微软雅黑"/>
        </w:rPr>
        <w:t>产品优势</w:t>
      </w:r>
    </w:p>
    <w:p>
      <w:pPr>
        <w:pStyle w:val="4"/>
        <w:spacing w:line="360" w:lineRule="auto"/>
        <w:rPr>
          <w:rFonts w:ascii="微软雅黑" w:hAnsi="微软雅黑"/>
          <w:sz w:val="28"/>
          <w:szCs w:val="28"/>
        </w:rPr>
      </w:pPr>
      <w:r>
        <w:rPr>
          <w:rFonts w:hint="eastAsia" w:ascii="微软雅黑" w:hAnsi="微软雅黑"/>
          <w:sz w:val="28"/>
          <w:szCs w:val="28"/>
        </w:rPr>
        <w:t>2</w:t>
      </w:r>
      <w:r>
        <w:rPr>
          <w:rFonts w:ascii="微软雅黑" w:hAnsi="微软雅黑"/>
          <w:sz w:val="28"/>
          <w:szCs w:val="28"/>
        </w:rPr>
        <w:t xml:space="preserve">.2.1 </w:t>
      </w:r>
      <w:r>
        <w:rPr>
          <w:rFonts w:hint="eastAsia" w:ascii="微软雅黑" w:hAnsi="微软雅黑"/>
          <w:sz w:val="28"/>
          <w:szCs w:val="28"/>
        </w:rPr>
        <w:t>开源组件漏洞和许可分析</w:t>
      </w:r>
    </w:p>
    <w:p>
      <w:pPr>
        <w:ind w:firstLine="420"/>
        <w:rPr>
          <w:rFonts w:ascii="微软雅黑" w:hAnsi="微软雅黑"/>
        </w:rPr>
      </w:pPr>
      <w:r>
        <w:rPr>
          <w:rFonts w:hint="eastAsia" w:ascii="微软雅黑" w:hAnsi="微软雅黑"/>
        </w:rPr>
        <w:t>软件团队往往专注于业务功能的实现，却忽视了对开源组件中已知漏洞的检查。而开源漏洞的风险往往更大，因为其漏洞信息以及如何利用漏洞都是公开的。幸而87%的开源漏洞都得到了开源维护者们的修补，所以它们又是比较容易被修正的。</w:t>
      </w:r>
      <w:r>
        <w:rPr>
          <w:rFonts w:hint="eastAsia" w:ascii="微软雅黑" w:hAnsi="微软雅黑"/>
          <w:lang w:val="en-US" w:eastAsia="zh-CN"/>
        </w:rPr>
        <w:t>SCA</w:t>
      </w:r>
      <w:r>
        <w:rPr>
          <w:rFonts w:hint="eastAsia" w:ascii="微软雅黑" w:hAnsi="微软雅黑"/>
        </w:rPr>
        <w:t>产品能在检测出应用程序引入的开源组件漏洞，以便用户能积极主动地提前修复所有安全问题。</w:t>
      </w:r>
    </w:p>
    <w:p>
      <w:pPr>
        <w:ind w:firstLine="420"/>
        <w:rPr>
          <w:rFonts w:ascii="微软雅黑" w:hAnsi="微软雅黑"/>
        </w:rPr>
      </w:pPr>
      <w:r>
        <w:rPr>
          <w:rFonts w:hint="eastAsia" w:ascii="微软雅黑" w:hAnsi="微软雅黑"/>
        </w:rPr>
        <w:t>向左移（Shift Left）是在软件开发过程早期尽可能多地检测问题的核心理念，有研究表明，开展安全问题的早期检测可以减少90%的修复成本。问题组件在功能测试时就进行了检查，并根据检测结果对组件漏洞进行统计。SCA能够展示检测到的三方组件的所有CNNVD/CVE的漏洞信息，包括其官方漏洞细节描述及修复建议。另外，系统还会罗列出组件的所有版本，方便研发人员修复或替换存在漏洞的组件版本。</w:t>
      </w:r>
    </w:p>
    <w:p>
      <w:pPr>
        <w:pStyle w:val="4"/>
        <w:spacing w:line="360" w:lineRule="auto"/>
      </w:pPr>
      <w:r>
        <w:rPr>
          <w:rFonts w:hint="eastAsia" w:ascii="微软雅黑" w:hAnsi="微软雅黑"/>
          <w:sz w:val="28"/>
          <w:szCs w:val="28"/>
        </w:rPr>
        <w:t>2</w:t>
      </w:r>
      <w:r>
        <w:rPr>
          <w:rFonts w:ascii="微软雅黑" w:hAnsi="微软雅黑"/>
          <w:sz w:val="28"/>
          <w:szCs w:val="28"/>
        </w:rPr>
        <w:t xml:space="preserve">.2.2 </w:t>
      </w:r>
      <w:r>
        <w:rPr>
          <w:rFonts w:hint="eastAsia" w:ascii="微软雅黑" w:hAnsi="微软雅黑"/>
          <w:sz w:val="28"/>
          <w:szCs w:val="28"/>
        </w:rPr>
        <w:t>第三方开源组件合规检测</w:t>
      </w:r>
    </w:p>
    <w:p>
      <w:pPr>
        <w:ind w:firstLine="420"/>
        <w:rPr>
          <w:rFonts w:ascii="微软雅黑" w:hAnsi="微软雅黑"/>
        </w:rPr>
      </w:pPr>
      <w:r>
        <w:rPr>
          <w:rFonts w:hint="eastAsia" w:ascii="微软雅黑" w:hAnsi="微软雅黑"/>
        </w:rPr>
        <w:t>随着国内越来越多的企业全球化、走出去的脚步不断提升，加速了全球信息一体化的融合，SCA内置对于商用软件、开源系统以及企业自用软件等类型设计了不同的可贵策略，可以帮助各个行业应用在系统开发阶段更好更快速的找出安全合规的风险问题。</w:t>
      </w:r>
    </w:p>
    <w:p>
      <w:pPr>
        <w:pStyle w:val="4"/>
        <w:spacing w:line="360" w:lineRule="auto"/>
        <w:rPr>
          <w:rFonts w:ascii="微软雅黑" w:hAnsi="微软雅黑"/>
          <w:sz w:val="28"/>
          <w:szCs w:val="28"/>
        </w:rPr>
      </w:pPr>
      <w:r>
        <w:rPr>
          <w:rFonts w:hint="eastAsia" w:ascii="微软雅黑" w:hAnsi="微软雅黑"/>
          <w:sz w:val="28"/>
          <w:szCs w:val="28"/>
        </w:rPr>
        <w:t>2</w:t>
      </w:r>
      <w:r>
        <w:rPr>
          <w:rFonts w:ascii="微软雅黑" w:hAnsi="微软雅黑"/>
          <w:sz w:val="28"/>
          <w:szCs w:val="28"/>
        </w:rPr>
        <w:t xml:space="preserve">.2.3 </w:t>
      </w:r>
      <w:r>
        <w:rPr>
          <w:rFonts w:hint="eastAsia" w:ascii="微软雅黑" w:hAnsi="微软雅黑"/>
          <w:sz w:val="28"/>
          <w:szCs w:val="28"/>
        </w:rPr>
        <w:t>与DevOps集成</w:t>
      </w:r>
    </w:p>
    <w:p>
      <w:pPr>
        <w:ind w:firstLine="480"/>
        <w:rPr>
          <w:rFonts w:ascii="微软雅黑" w:hAnsi="微软雅黑"/>
        </w:rPr>
      </w:pPr>
      <w:r>
        <w:rPr>
          <w:rFonts w:hint="eastAsia" w:ascii="微软雅黑" w:hAnsi="微软雅黑"/>
        </w:rPr>
        <w:t>随着DevOps理念的实施，持续集成（CI）和持续交付（CD）都体现了如今快节奏的文化和发展原则，旨在缩短开发周期、提高软件交付效率以及实现全流程的自动化。SCA可以与CI/CD系统进行无缝集成。</w:t>
      </w:r>
    </w:p>
    <w:p>
      <w:pPr>
        <w:ind w:firstLine="420"/>
        <w:rPr>
          <w:rFonts w:ascii="微软雅黑" w:hAnsi="微软雅黑" w:cs="微软雅黑"/>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等线">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等线 Light">
    <w:altName w:val="汉仪中等线KW"/>
    <w:panose1 w:val="02010600030101010101"/>
    <w:charset w:val="86"/>
    <w:family w:val="auto"/>
    <w:pitch w:val="default"/>
    <w:sig w:usb0="00000000" w:usb1="00000000" w:usb2="00000016" w:usb3="00000000" w:csb0="0004000F" w:csb1="00000000"/>
  </w:font>
  <w:font w:name="仿宋">
    <w:altName w:val="方正仿宋_GBK"/>
    <w:panose1 w:val="02010609060101010101"/>
    <w:charset w:val="86"/>
    <w:family w:val="modern"/>
    <w:pitch w:val="default"/>
    <w:sig w:usb0="00000000" w:usb1="00000000" w:usb2="00000016" w:usb3="00000000" w:csb0="00040001" w:csb1="00000000"/>
  </w:font>
  <w:font w:name="Times New Roman [TMC ]">
    <w:altName w:val="苹方-简"/>
    <w:panose1 w:val="00000000000000000000"/>
    <w:charset w:val="00"/>
    <w:family w:val="auto"/>
    <w:pitch w:val="default"/>
    <w:sig w:usb0="00000000" w:usb1="00000000" w:usb2="00000009" w:usb3="00000000" w:csb0="400001FF" w:csb1="FFFF0000"/>
  </w:font>
  <w:font w:name="Tahoma">
    <w:panose1 w:val="020B0804030504040204"/>
    <w:charset w:val="00"/>
    <w:family w:val="auto"/>
    <w:pitch w:val="default"/>
    <w:sig w:usb0="E1002AFF" w:usb1="C000605B" w:usb2="00000029" w:usb3="00000000" w:csb0="200101FF" w:csb1="2028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PingFangHK">
    <w:altName w:val="苹方-简"/>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2400219"/>
    </w:sdtPr>
    <w:sdtContent>
      <w:sdt>
        <w:sdtPr>
          <w:id w:val="262649610"/>
        </w:sdtPr>
        <w:sdtContent>
          <w:p>
            <w:pPr>
              <w:pStyle w:val="13"/>
              <w:ind w:firstLine="360"/>
              <w:jc w:val="center"/>
            </w:pPr>
            <w:r>
              <w:rPr>
                <w:b/>
                <w:bCs/>
                <w:sz w:val="20"/>
              </w:rPr>
              <w:fldChar w:fldCharType="begin"/>
            </w:r>
            <w:r>
              <w:rPr>
                <w:b/>
                <w:bCs/>
                <w:sz w:val="20"/>
              </w:rPr>
              <w:instrText xml:space="preserve">PAGE</w:instrText>
            </w:r>
            <w:r>
              <w:rPr>
                <w:b/>
                <w:bCs/>
                <w:sz w:val="20"/>
              </w:rPr>
              <w:fldChar w:fldCharType="separate"/>
            </w:r>
            <w:r>
              <w:rPr>
                <w:b/>
                <w:bCs/>
                <w:sz w:val="20"/>
                <w:lang w:val="zh-CN"/>
              </w:rPr>
              <w:t>2</w:t>
            </w:r>
            <w:r>
              <w:rPr>
                <w:b/>
                <w:bCs/>
                <w:sz w:val="20"/>
              </w:rPr>
              <w:fldChar w:fldCharType="end"/>
            </w:r>
            <w:r>
              <w:rPr>
                <w:sz w:val="20"/>
                <w:lang w:val="zh-CN"/>
              </w:rPr>
              <w:t xml:space="preserve"> / </w:t>
            </w:r>
            <w:r>
              <w:rPr>
                <w:b/>
                <w:bCs/>
                <w:sz w:val="20"/>
              </w:rPr>
              <w:fldChar w:fldCharType="begin"/>
            </w:r>
            <w:r>
              <w:rPr>
                <w:b/>
                <w:bCs/>
                <w:sz w:val="20"/>
              </w:rPr>
              <w:instrText xml:space="preserve">NUMPAGES</w:instrText>
            </w:r>
            <w:r>
              <w:rPr>
                <w:b/>
                <w:bCs/>
                <w:sz w:val="20"/>
              </w:rPr>
              <w:fldChar w:fldCharType="separate"/>
            </w:r>
            <w:r>
              <w:rPr>
                <w:b/>
                <w:bCs/>
                <w:sz w:val="20"/>
                <w:lang w:val="zh-CN"/>
              </w:rPr>
              <w:t>2</w:t>
            </w:r>
            <w:r>
              <w:rPr>
                <w:b/>
                <w:bCs/>
                <w:sz w:val="20"/>
              </w:rPr>
              <w:fldChar w:fldCharType="end"/>
            </w:r>
          </w:p>
        </w:sdtContent>
      </w:sdt>
    </w:sdtContent>
  </w:sdt>
  <w:p>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left="480" w:firstLine="420"/>
      <w:jc w:val="right"/>
    </w:pPr>
    <w:r>
      <w:drawing>
        <wp:inline distT="0" distB="0" distL="0" distR="0">
          <wp:extent cx="1371600" cy="302260"/>
          <wp:effectExtent l="0" t="0" r="0" b="0"/>
          <wp:docPr id="32" name="图片 35"/>
          <wp:cNvGraphicFramePr/>
          <a:graphic xmlns:a="http://schemas.openxmlformats.org/drawingml/2006/main">
            <a:graphicData uri="http://schemas.openxmlformats.org/drawingml/2006/picture">
              <pic:pic xmlns:pic="http://schemas.openxmlformats.org/drawingml/2006/picture">
                <pic:nvPicPr>
                  <pic:cNvPr id="32" name="图片 35"/>
                  <pic:cNvPicPr/>
                </pic:nvPicPr>
                <pic:blipFill>
                  <a:blip r:embed="rId1">
                    <a:extLst>
                      <a:ext uri="{28A0092B-C50C-407E-A947-70E740481C1C}">
                        <a14:useLocalDpi xmlns:a14="http://schemas.microsoft.com/office/drawing/2010/main" val="0"/>
                      </a:ext>
                    </a:extLst>
                  </a:blip>
                  <a:srcRect/>
                  <a:stretch>
                    <a:fillRect/>
                  </a:stretch>
                </pic:blipFill>
                <pic:spPr>
                  <a:xfrm>
                    <a:off x="0" y="0"/>
                    <a:ext cx="1371600" cy="30226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83844"/>
    <w:multiLevelType w:val="multilevel"/>
    <w:tmpl w:val="0D983844"/>
    <w:lvl w:ilvl="0" w:tentative="0">
      <w:start w:val="1"/>
      <w:numFmt w:val="decimal"/>
      <w:pStyle w:val="34"/>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
    <w:nsid w:val="12BF579A"/>
    <w:multiLevelType w:val="multilevel"/>
    <w:tmpl w:val="12BF579A"/>
    <w:lvl w:ilvl="0" w:tentative="0">
      <w:start w:val="1"/>
      <w:numFmt w:val="decimal"/>
      <w:pStyle w:val="39"/>
      <w:suff w:val="space"/>
      <w:lvlText w:val="%1"/>
      <w:lvlJc w:val="left"/>
      <w:pPr>
        <w:ind w:left="0" w:firstLine="0"/>
      </w:pPr>
      <w:rPr>
        <w:rFonts w:hint="eastAsia"/>
      </w:rPr>
    </w:lvl>
    <w:lvl w:ilvl="1" w:tentative="0">
      <w:start w:val="1"/>
      <w:numFmt w:val="decimal"/>
      <w:pStyle w:val="40"/>
      <w:suff w:val="space"/>
      <w:lvlText w:val="%1.%2"/>
      <w:lvlJc w:val="left"/>
      <w:pPr>
        <w:ind w:left="0" w:firstLine="0"/>
      </w:pPr>
      <w:rPr>
        <w:rFonts w:hint="eastAsia"/>
      </w:rPr>
    </w:lvl>
    <w:lvl w:ilvl="2" w:tentative="0">
      <w:start w:val="1"/>
      <w:numFmt w:val="decimal"/>
      <w:pStyle w:val="41"/>
      <w:lvlText w:val="%1.%2.%3"/>
      <w:lvlJc w:val="left"/>
      <w:pPr>
        <w:ind w:left="0" w:firstLine="0"/>
      </w:pPr>
      <w:rPr>
        <w:rFonts w:hint="eastAsia"/>
      </w:rPr>
    </w:lvl>
    <w:lvl w:ilvl="3" w:tentative="0">
      <w:start w:val="1"/>
      <w:numFmt w:val="decimal"/>
      <w:pStyle w:val="42"/>
      <w:suff w:val="space"/>
      <w:lvlText w:val="%1.%2.%3.%4"/>
      <w:lvlJc w:val="left"/>
      <w:pPr>
        <w:ind w:left="0" w:firstLine="0"/>
      </w:pPr>
      <w:rPr>
        <w:rFonts w:hint="eastAsia"/>
      </w:rPr>
    </w:lvl>
    <w:lvl w:ilvl="4" w:tentative="0">
      <w:start w:val="1"/>
      <w:numFmt w:val="decimal"/>
      <w:pStyle w:val="37"/>
      <w:suff w:val="space"/>
      <w:lvlText w:val="%1.%2.%3.%4.%5"/>
      <w:lvlJc w:val="left"/>
      <w:pPr>
        <w:ind w:left="0" w:firstLine="0"/>
      </w:pPr>
      <w:rPr>
        <w:rFonts w:hint="eastAsia"/>
      </w:rPr>
    </w:lvl>
    <w:lvl w:ilvl="5" w:tentative="0">
      <w:start w:val="1"/>
      <w:numFmt w:val="decimal"/>
      <w:pStyle w:val="45"/>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20784972"/>
    <w:multiLevelType w:val="multilevel"/>
    <w:tmpl w:val="20784972"/>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7579673C"/>
    <w:multiLevelType w:val="multilevel"/>
    <w:tmpl w:val="7579673C"/>
    <w:lvl w:ilvl="0" w:tentative="0">
      <w:start w:val="1"/>
      <w:numFmt w:val="decimal"/>
      <w:lvlText w:val="%1"/>
      <w:lvlJc w:val="left"/>
      <w:pPr>
        <w:ind w:left="555" w:hanging="555"/>
      </w:pPr>
      <w:rPr>
        <w:rFonts w:hint="default"/>
      </w:rPr>
    </w:lvl>
    <w:lvl w:ilvl="1" w:tentative="0">
      <w:start w:val="1"/>
      <w:numFmt w:val="decimal"/>
      <w:lvlText w:val="%1.%2"/>
      <w:lvlJc w:val="left"/>
      <w:pPr>
        <w:ind w:left="555" w:hanging="55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4"/>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413"/>
    <w:rsid w:val="00003BC5"/>
    <w:rsid w:val="00011455"/>
    <w:rsid w:val="00016661"/>
    <w:rsid w:val="00022A1F"/>
    <w:rsid w:val="00022A71"/>
    <w:rsid w:val="000231FF"/>
    <w:rsid w:val="000329B6"/>
    <w:rsid w:val="00032AC8"/>
    <w:rsid w:val="00035244"/>
    <w:rsid w:val="00035665"/>
    <w:rsid w:val="0003772D"/>
    <w:rsid w:val="00065126"/>
    <w:rsid w:val="000678D0"/>
    <w:rsid w:val="00077F57"/>
    <w:rsid w:val="00080457"/>
    <w:rsid w:val="00082429"/>
    <w:rsid w:val="0008284C"/>
    <w:rsid w:val="000842AC"/>
    <w:rsid w:val="00085F48"/>
    <w:rsid w:val="0009286C"/>
    <w:rsid w:val="00094FA7"/>
    <w:rsid w:val="0009505B"/>
    <w:rsid w:val="000952E9"/>
    <w:rsid w:val="00095964"/>
    <w:rsid w:val="000A1E00"/>
    <w:rsid w:val="000A6C6C"/>
    <w:rsid w:val="000A7738"/>
    <w:rsid w:val="000B008E"/>
    <w:rsid w:val="000C53FB"/>
    <w:rsid w:val="000C7A1A"/>
    <w:rsid w:val="000D311F"/>
    <w:rsid w:val="000D7626"/>
    <w:rsid w:val="000E0E87"/>
    <w:rsid w:val="000E5B66"/>
    <w:rsid w:val="000F62D8"/>
    <w:rsid w:val="00104B84"/>
    <w:rsid w:val="00113329"/>
    <w:rsid w:val="0011454B"/>
    <w:rsid w:val="00120CB0"/>
    <w:rsid w:val="001269CD"/>
    <w:rsid w:val="0013384E"/>
    <w:rsid w:val="00135C2B"/>
    <w:rsid w:val="00137EFB"/>
    <w:rsid w:val="00141320"/>
    <w:rsid w:val="00145AD8"/>
    <w:rsid w:val="00152551"/>
    <w:rsid w:val="00153B4C"/>
    <w:rsid w:val="0015443D"/>
    <w:rsid w:val="00172A27"/>
    <w:rsid w:val="00174733"/>
    <w:rsid w:val="0017645C"/>
    <w:rsid w:val="00180CA0"/>
    <w:rsid w:val="0019502A"/>
    <w:rsid w:val="001A1F65"/>
    <w:rsid w:val="001C09FE"/>
    <w:rsid w:val="001C311B"/>
    <w:rsid w:val="001C4E32"/>
    <w:rsid w:val="001C5BD1"/>
    <w:rsid w:val="001C67F2"/>
    <w:rsid w:val="001D07A1"/>
    <w:rsid w:val="001D4E5B"/>
    <w:rsid w:val="001F069C"/>
    <w:rsid w:val="001F1A9A"/>
    <w:rsid w:val="00206C7E"/>
    <w:rsid w:val="0020744E"/>
    <w:rsid w:val="0021782F"/>
    <w:rsid w:val="002226CB"/>
    <w:rsid w:val="00227BDC"/>
    <w:rsid w:val="00230E19"/>
    <w:rsid w:val="00240942"/>
    <w:rsid w:val="0024206D"/>
    <w:rsid w:val="00246B01"/>
    <w:rsid w:val="0025141F"/>
    <w:rsid w:val="0026217D"/>
    <w:rsid w:val="0026410D"/>
    <w:rsid w:val="00264373"/>
    <w:rsid w:val="002674A0"/>
    <w:rsid w:val="00276194"/>
    <w:rsid w:val="00280F33"/>
    <w:rsid w:val="002829B1"/>
    <w:rsid w:val="0028300B"/>
    <w:rsid w:val="00292587"/>
    <w:rsid w:val="002944B7"/>
    <w:rsid w:val="002950F8"/>
    <w:rsid w:val="00296393"/>
    <w:rsid w:val="002964FE"/>
    <w:rsid w:val="002A1622"/>
    <w:rsid w:val="002A4E15"/>
    <w:rsid w:val="002A59CE"/>
    <w:rsid w:val="002B29E5"/>
    <w:rsid w:val="002B5A20"/>
    <w:rsid w:val="002C3AA4"/>
    <w:rsid w:val="002D1FA4"/>
    <w:rsid w:val="002D26CA"/>
    <w:rsid w:val="002D42CA"/>
    <w:rsid w:val="002D6267"/>
    <w:rsid w:val="002F6F60"/>
    <w:rsid w:val="002F7467"/>
    <w:rsid w:val="002F7AD5"/>
    <w:rsid w:val="00302D9B"/>
    <w:rsid w:val="00302F17"/>
    <w:rsid w:val="00307867"/>
    <w:rsid w:val="00310017"/>
    <w:rsid w:val="00311132"/>
    <w:rsid w:val="00311801"/>
    <w:rsid w:val="00312BD1"/>
    <w:rsid w:val="00315439"/>
    <w:rsid w:val="003164CB"/>
    <w:rsid w:val="00322A08"/>
    <w:rsid w:val="00323DCA"/>
    <w:rsid w:val="003379DF"/>
    <w:rsid w:val="00341050"/>
    <w:rsid w:val="003513E7"/>
    <w:rsid w:val="003522D6"/>
    <w:rsid w:val="003524CE"/>
    <w:rsid w:val="00357608"/>
    <w:rsid w:val="003611FD"/>
    <w:rsid w:val="00365506"/>
    <w:rsid w:val="0036550A"/>
    <w:rsid w:val="00365A82"/>
    <w:rsid w:val="003861F4"/>
    <w:rsid w:val="00386C59"/>
    <w:rsid w:val="003942A8"/>
    <w:rsid w:val="003A1151"/>
    <w:rsid w:val="003A2C23"/>
    <w:rsid w:val="003B2ADD"/>
    <w:rsid w:val="003C2DBE"/>
    <w:rsid w:val="003D5A3A"/>
    <w:rsid w:val="003E11E6"/>
    <w:rsid w:val="003E1D1C"/>
    <w:rsid w:val="003E40B6"/>
    <w:rsid w:val="003E5583"/>
    <w:rsid w:val="003F151A"/>
    <w:rsid w:val="003F2705"/>
    <w:rsid w:val="003F2E91"/>
    <w:rsid w:val="004106A0"/>
    <w:rsid w:val="00410CA4"/>
    <w:rsid w:val="00413DFE"/>
    <w:rsid w:val="0041568A"/>
    <w:rsid w:val="004211ED"/>
    <w:rsid w:val="00422372"/>
    <w:rsid w:val="0042665B"/>
    <w:rsid w:val="00426D0B"/>
    <w:rsid w:val="0043149E"/>
    <w:rsid w:val="0043562D"/>
    <w:rsid w:val="00435E6F"/>
    <w:rsid w:val="00436FBE"/>
    <w:rsid w:val="004445F3"/>
    <w:rsid w:val="00450EEA"/>
    <w:rsid w:val="004528B2"/>
    <w:rsid w:val="00452E33"/>
    <w:rsid w:val="004538DA"/>
    <w:rsid w:val="00457973"/>
    <w:rsid w:val="0046798A"/>
    <w:rsid w:val="0047442C"/>
    <w:rsid w:val="004767FB"/>
    <w:rsid w:val="00476DB0"/>
    <w:rsid w:val="00481CB8"/>
    <w:rsid w:val="004941D4"/>
    <w:rsid w:val="004B5A8A"/>
    <w:rsid w:val="004C4576"/>
    <w:rsid w:val="004C508E"/>
    <w:rsid w:val="004C5B8B"/>
    <w:rsid w:val="004C6487"/>
    <w:rsid w:val="004D1394"/>
    <w:rsid w:val="004E4A63"/>
    <w:rsid w:val="004F0100"/>
    <w:rsid w:val="004F3A0D"/>
    <w:rsid w:val="004F6F28"/>
    <w:rsid w:val="00500C53"/>
    <w:rsid w:val="00504D4D"/>
    <w:rsid w:val="00511F9E"/>
    <w:rsid w:val="005126DC"/>
    <w:rsid w:val="005247E3"/>
    <w:rsid w:val="00527780"/>
    <w:rsid w:val="00532E0E"/>
    <w:rsid w:val="00545188"/>
    <w:rsid w:val="00551CEA"/>
    <w:rsid w:val="00555291"/>
    <w:rsid w:val="00560749"/>
    <w:rsid w:val="005732EF"/>
    <w:rsid w:val="0057398A"/>
    <w:rsid w:val="00581623"/>
    <w:rsid w:val="00582756"/>
    <w:rsid w:val="00583212"/>
    <w:rsid w:val="00594062"/>
    <w:rsid w:val="005A529D"/>
    <w:rsid w:val="005A7D2E"/>
    <w:rsid w:val="005B107F"/>
    <w:rsid w:val="005C1123"/>
    <w:rsid w:val="005C703E"/>
    <w:rsid w:val="005D40B4"/>
    <w:rsid w:val="005E1159"/>
    <w:rsid w:val="005E13F2"/>
    <w:rsid w:val="005E6632"/>
    <w:rsid w:val="005F1556"/>
    <w:rsid w:val="005F5340"/>
    <w:rsid w:val="00600CCF"/>
    <w:rsid w:val="00601C7C"/>
    <w:rsid w:val="006021BE"/>
    <w:rsid w:val="0061140D"/>
    <w:rsid w:val="00612FEE"/>
    <w:rsid w:val="006149B6"/>
    <w:rsid w:val="00615C66"/>
    <w:rsid w:val="0061713A"/>
    <w:rsid w:val="00621012"/>
    <w:rsid w:val="00622802"/>
    <w:rsid w:val="0062438C"/>
    <w:rsid w:val="006306A4"/>
    <w:rsid w:val="006319F6"/>
    <w:rsid w:val="00635829"/>
    <w:rsid w:val="00644492"/>
    <w:rsid w:val="006470F0"/>
    <w:rsid w:val="00655FFC"/>
    <w:rsid w:val="00660ED8"/>
    <w:rsid w:val="00661429"/>
    <w:rsid w:val="00662947"/>
    <w:rsid w:val="00663E91"/>
    <w:rsid w:val="006701C2"/>
    <w:rsid w:val="00675762"/>
    <w:rsid w:val="00681B20"/>
    <w:rsid w:val="006825E5"/>
    <w:rsid w:val="00684761"/>
    <w:rsid w:val="00684806"/>
    <w:rsid w:val="00693ECC"/>
    <w:rsid w:val="00696964"/>
    <w:rsid w:val="00697B6D"/>
    <w:rsid w:val="006A3494"/>
    <w:rsid w:val="006B3C3F"/>
    <w:rsid w:val="006D7555"/>
    <w:rsid w:val="006E367B"/>
    <w:rsid w:val="006E3FAB"/>
    <w:rsid w:val="006F21CE"/>
    <w:rsid w:val="006F2C8D"/>
    <w:rsid w:val="006F77BC"/>
    <w:rsid w:val="00703EEF"/>
    <w:rsid w:val="0072096A"/>
    <w:rsid w:val="00724B07"/>
    <w:rsid w:val="00731888"/>
    <w:rsid w:val="00734695"/>
    <w:rsid w:val="00741B2A"/>
    <w:rsid w:val="007452C8"/>
    <w:rsid w:val="00747127"/>
    <w:rsid w:val="0074727C"/>
    <w:rsid w:val="0075034E"/>
    <w:rsid w:val="00751508"/>
    <w:rsid w:val="00751759"/>
    <w:rsid w:val="00751B06"/>
    <w:rsid w:val="00753FF9"/>
    <w:rsid w:val="0075731D"/>
    <w:rsid w:val="007604F0"/>
    <w:rsid w:val="00761D38"/>
    <w:rsid w:val="0076653E"/>
    <w:rsid w:val="00766DFD"/>
    <w:rsid w:val="00776B59"/>
    <w:rsid w:val="00783CF2"/>
    <w:rsid w:val="00794BDB"/>
    <w:rsid w:val="00797896"/>
    <w:rsid w:val="007A0C19"/>
    <w:rsid w:val="007A4381"/>
    <w:rsid w:val="007A5030"/>
    <w:rsid w:val="007A55B9"/>
    <w:rsid w:val="007A5962"/>
    <w:rsid w:val="007B72D2"/>
    <w:rsid w:val="007C01DA"/>
    <w:rsid w:val="007C7DFF"/>
    <w:rsid w:val="007D03AF"/>
    <w:rsid w:val="007D05CC"/>
    <w:rsid w:val="007D3847"/>
    <w:rsid w:val="007D3A51"/>
    <w:rsid w:val="007E0935"/>
    <w:rsid w:val="007E1A95"/>
    <w:rsid w:val="007E3485"/>
    <w:rsid w:val="007E56E8"/>
    <w:rsid w:val="007E5F07"/>
    <w:rsid w:val="007F15E1"/>
    <w:rsid w:val="007F1EB2"/>
    <w:rsid w:val="007F472B"/>
    <w:rsid w:val="007F6DD4"/>
    <w:rsid w:val="00802040"/>
    <w:rsid w:val="0080540E"/>
    <w:rsid w:val="00810BA0"/>
    <w:rsid w:val="00811A9B"/>
    <w:rsid w:val="00813525"/>
    <w:rsid w:val="008174B6"/>
    <w:rsid w:val="008204DA"/>
    <w:rsid w:val="008209AB"/>
    <w:rsid w:val="00821072"/>
    <w:rsid w:val="00823ADB"/>
    <w:rsid w:val="008252BA"/>
    <w:rsid w:val="00832A5D"/>
    <w:rsid w:val="00832A85"/>
    <w:rsid w:val="00833114"/>
    <w:rsid w:val="00834E6D"/>
    <w:rsid w:val="00834E9C"/>
    <w:rsid w:val="0084233D"/>
    <w:rsid w:val="00844022"/>
    <w:rsid w:val="0084647E"/>
    <w:rsid w:val="00847E55"/>
    <w:rsid w:val="008537CE"/>
    <w:rsid w:val="00863094"/>
    <w:rsid w:val="00870F3F"/>
    <w:rsid w:val="008751F4"/>
    <w:rsid w:val="0088081B"/>
    <w:rsid w:val="00881BE6"/>
    <w:rsid w:val="00892394"/>
    <w:rsid w:val="00893C42"/>
    <w:rsid w:val="008A3176"/>
    <w:rsid w:val="008A362D"/>
    <w:rsid w:val="008A4079"/>
    <w:rsid w:val="008A5CC6"/>
    <w:rsid w:val="008B022E"/>
    <w:rsid w:val="008C1C78"/>
    <w:rsid w:val="008C6730"/>
    <w:rsid w:val="008D0A04"/>
    <w:rsid w:val="008D5B91"/>
    <w:rsid w:val="008E6E0A"/>
    <w:rsid w:val="00900803"/>
    <w:rsid w:val="00911BFB"/>
    <w:rsid w:val="00912AEE"/>
    <w:rsid w:val="00920141"/>
    <w:rsid w:val="009329C0"/>
    <w:rsid w:val="009337BF"/>
    <w:rsid w:val="00940F8D"/>
    <w:rsid w:val="00941B2F"/>
    <w:rsid w:val="00942CE8"/>
    <w:rsid w:val="00945974"/>
    <w:rsid w:val="00947F7C"/>
    <w:rsid w:val="00952C8F"/>
    <w:rsid w:val="00952CA2"/>
    <w:rsid w:val="00956B5A"/>
    <w:rsid w:val="00960564"/>
    <w:rsid w:val="00960860"/>
    <w:rsid w:val="00963B27"/>
    <w:rsid w:val="009661B1"/>
    <w:rsid w:val="00973B99"/>
    <w:rsid w:val="00981ECE"/>
    <w:rsid w:val="00984299"/>
    <w:rsid w:val="00985561"/>
    <w:rsid w:val="009856C5"/>
    <w:rsid w:val="0098572D"/>
    <w:rsid w:val="0099264C"/>
    <w:rsid w:val="009947EC"/>
    <w:rsid w:val="009A3C16"/>
    <w:rsid w:val="009A498A"/>
    <w:rsid w:val="009A4E92"/>
    <w:rsid w:val="009B13B5"/>
    <w:rsid w:val="009B2819"/>
    <w:rsid w:val="009B2A23"/>
    <w:rsid w:val="009B5069"/>
    <w:rsid w:val="009C02B7"/>
    <w:rsid w:val="009D7555"/>
    <w:rsid w:val="009E4F03"/>
    <w:rsid w:val="009E50F7"/>
    <w:rsid w:val="009F03B6"/>
    <w:rsid w:val="009F6FBA"/>
    <w:rsid w:val="00A01FAF"/>
    <w:rsid w:val="00A065A1"/>
    <w:rsid w:val="00A12577"/>
    <w:rsid w:val="00A20988"/>
    <w:rsid w:val="00A22143"/>
    <w:rsid w:val="00A25AD3"/>
    <w:rsid w:val="00A31C2F"/>
    <w:rsid w:val="00A329F4"/>
    <w:rsid w:val="00A353EC"/>
    <w:rsid w:val="00A43F97"/>
    <w:rsid w:val="00A473A9"/>
    <w:rsid w:val="00A57D07"/>
    <w:rsid w:val="00A60331"/>
    <w:rsid w:val="00A6080B"/>
    <w:rsid w:val="00A620FC"/>
    <w:rsid w:val="00A70FF0"/>
    <w:rsid w:val="00A73288"/>
    <w:rsid w:val="00A74669"/>
    <w:rsid w:val="00A75C53"/>
    <w:rsid w:val="00A93910"/>
    <w:rsid w:val="00A944F9"/>
    <w:rsid w:val="00A9532C"/>
    <w:rsid w:val="00A97C71"/>
    <w:rsid w:val="00AA0C11"/>
    <w:rsid w:val="00AA5089"/>
    <w:rsid w:val="00AB2ABF"/>
    <w:rsid w:val="00AB3A37"/>
    <w:rsid w:val="00AB3DCD"/>
    <w:rsid w:val="00AB4D21"/>
    <w:rsid w:val="00AB55C2"/>
    <w:rsid w:val="00AB68FC"/>
    <w:rsid w:val="00AB7729"/>
    <w:rsid w:val="00AC03B5"/>
    <w:rsid w:val="00AC17CF"/>
    <w:rsid w:val="00AC3692"/>
    <w:rsid w:val="00AC73F9"/>
    <w:rsid w:val="00AC7572"/>
    <w:rsid w:val="00AD2410"/>
    <w:rsid w:val="00AE00F0"/>
    <w:rsid w:val="00AE1063"/>
    <w:rsid w:val="00AE1149"/>
    <w:rsid w:val="00AE3F00"/>
    <w:rsid w:val="00AE4954"/>
    <w:rsid w:val="00AE7DFA"/>
    <w:rsid w:val="00AF5517"/>
    <w:rsid w:val="00AF7089"/>
    <w:rsid w:val="00B00AC6"/>
    <w:rsid w:val="00B04587"/>
    <w:rsid w:val="00B06468"/>
    <w:rsid w:val="00B11269"/>
    <w:rsid w:val="00B17749"/>
    <w:rsid w:val="00B17F39"/>
    <w:rsid w:val="00B233E1"/>
    <w:rsid w:val="00B25EC2"/>
    <w:rsid w:val="00B265FD"/>
    <w:rsid w:val="00B3194F"/>
    <w:rsid w:val="00B35A26"/>
    <w:rsid w:val="00B47630"/>
    <w:rsid w:val="00B57ABB"/>
    <w:rsid w:val="00B74A6C"/>
    <w:rsid w:val="00B820BB"/>
    <w:rsid w:val="00B93EAC"/>
    <w:rsid w:val="00BA00DA"/>
    <w:rsid w:val="00BA0449"/>
    <w:rsid w:val="00BA05E2"/>
    <w:rsid w:val="00BA30A0"/>
    <w:rsid w:val="00BA594C"/>
    <w:rsid w:val="00BA72DB"/>
    <w:rsid w:val="00BB1A0A"/>
    <w:rsid w:val="00BB4494"/>
    <w:rsid w:val="00BB60DF"/>
    <w:rsid w:val="00BB7959"/>
    <w:rsid w:val="00BC54C1"/>
    <w:rsid w:val="00BD1A1D"/>
    <w:rsid w:val="00BD535B"/>
    <w:rsid w:val="00BD5D8E"/>
    <w:rsid w:val="00BD7C91"/>
    <w:rsid w:val="00BE159E"/>
    <w:rsid w:val="00BE7D43"/>
    <w:rsid w:val="00BF1D46"/>
    <w:rsid w:val="00BF4F22"/>
    <w:rsid w:val="00BF6F43"/>
    <w:rsid w:val="00C029B5"/>
    <w:rsid w:val="00C05CA0"/>
    <w:rsid w:val="00C077E9"/>
    <w:rsid w:val="00C07E7C"/>
    <w:rsid w:val="00C11107"/>
    <w:rsid w:val="00C16DA5"/>
    <w:rsid w:val="00C2218E"/>
    <w:rsid w:val="00C23BA7"/>
    <w:rsid w:val="00C259D0"/>
    <w:rsid w:val="00C26F22"/>
    <w:rsid w:val="00C36872"/>
    <w:rsid w:val="00C4415D"/>
    <w:rsid w:val="00C51DB2"/>
    <w:rsid w:val="00C650B9"/>
    <w:rsid w:val="00C658AA"/>
    <w:rsid w:val="00C65CD2"/>
    <w:rsid w:val="00C67AC1"/>
    <w:rsid w:val="00C8198C"/>
    <w:rsid w:val="00C8317B"/>
    <w:rsid w:val="00C83D3B"/>
    <w:rsid w:val="00C908F5"/>
    <w:rsid w:val="00C96FBC"/>
    <w:rsid w:val="00CA4610"/>
    <w:rsid w:val="00CB1D61"/>
    <w:rsid w:val="00CB1EFF"/>
    <w:rsid w:val="00CB330C"/>
    <w:rsid w:val="00CB7CD9"/>
    <w:rsid w:val="00CB7EAF"/>
    <w:rsid w:val="00CC158D"/>
    <w:rsid w:val="00CC1F05"/>
    <w:rsid w:val="00CC2D32"/>
    <w:rsid w:val="00CC7B1A"/>
    <w:rsid w:val="00CD33D8"/>
    <w:rsid w:val="00CD6344"/>
    <w:rsid w:val="00CE18B1"/>
    <w:rsid w:val="00CE30D6"/>
    <w:rsid w:val="00CE4F28"/>
    <w:rsid w:val="00CF0AE6"/>
    <w:rsid w:val="00CF596B"/>
    <w:rsid w:val="00CF6483"/>
    <w:rsid w:val="00D0039F"/>
    <w:rsid w:val="00D0211F"/>
    <w:rsid w:val="00D021DA"/>
    <w:rsid w:val="00D054B7"/>
    <w:rsid w:val="00D055A5"/>
    <w:rsid w:val="00D05729"/>
    <w:rsid w:val="00D129CE"/>
    <w:rsid w:val="00D14730"/>
    <w:rsid w:val="00D1705B"/>
    <w:rsid w:val="00D17FDD"/>
    <w:rsid w:val="00D20BDB"/>
    <w:rsid w:val="00D22AA8"/>
    <w:rsid w:val="00D2736A"/>
    <w:rsid w:val="00D31042"/>
    <w:rsid w:val="00D31DCE"/>
    <w:rsid w:val="00D41B09"/>
    <w:rsid w:val="00D42C1A"/>
    <w:rsid w:val="00D51EC5"/>
    <w:rsid w:val="00D52D8F"/>
    <w:rsid w:val="00D551C0"/>
    <w:rsid w:val="00D61367"/>
    <w:rsid w:val="00D63ED5"/>
    <w:rsid w:val="00D64C93"/>
    <w:rsid w:val="00D65C33"/>
    <w:rsid w:val="00D67304"/>
    <w:rsid w:val="00D70E7D"/>
    <w:rsid w:val="00D715A7"/>
    <w:rsid w:val="00D838FC"/>
    <w:rsid w:val="00D84C6D"/>
    <w:rsid w:val="00D86661"/>
    <w:rsid w:val="00D86B62"/>
    <w:rsid w:val="00D95F9B"/>
    <w:rsid w:val="00D970BF"/>
    <w:rsid w:val="00DA13AF"/>
    <w:rsid w:val="00DA7166"/>
    <w:rsid w:val="00DB5EBF"/>
    <w:rsid w:val="00DB7A3E"/>
    <w:rsid w:val="00DB7B09"/>
    <w:rsid w:val="00DC3365"/>
    <w:rsid w:val="00DC35E2"/>
    <w:rsid w:val="00DD0813"/>
    <w:rsid w:val="00DD247F"/>
    <w:rsid w:val="00DD45B2"/>
    <w:rsid w:val="00DD66E8"/>
    <w:rsid w:val="00DF43F8"/>
    <w:rsid w:val="00DF56A4"/>
    <w:rsid w:val="00E10573"/>
    <w:rsid w:val="00E1419F"/>
    <w:rsid w:val="00E14E31"/>
    <w:rsid w:val="00E23CC1"/>
    <w:rsid w:val="00E26438"/>
    <w:rsid w:val="00E26738"/>
    <w:rsid w:val="00E30472"/>
    <w:rsid w:val="00E365D0"/>
    <w:rsid w:val="00E41747"/>
    <w:rsid w:val="00E46326"/>
    <w:rsid w:val="00E469B0"/>
    <w:rsid w:val="00E62E9A"/>
    <w:rsid w:val="00E633F0"/>
    <w:rsid w:val="00E63FF2"/>
    <w:rsid w:val="00E65B2C"/>
    <w:rsid w:val="00E6743A"/>
    <w:rsid w:val="00E71061"/>
    <w:rsid w:val="00E72BC3"/>
    <w:rsid w:val="00E74CEC"/>
    <w:rsid w:val="00E8107C"/>
    <w:rsid w:val="00E83E6E"/>
    <w:rsid w:val="00E84B58"/>
    <w:rsid w:val="00E87D2B"/>
    <w:rsid w:val="00EA5D43"/>
    <w:rsid w:val="00EA6C9D"/>
    <w:rsid w:val="00EB6613"/>
    <w:rsid w:val="00EB725F"/>
    <w:rsid w:val="00EC0FDE"/>
    <w:rsid w:val="00ED3767"/>
    <w:rsid w:val="00EE46B5"/>
    <w:rsid w:val="00EF3039"/>
    <w:rsid w:val="00F17217"/>
    <w:rsid w:val="00F21B30"/>
    <w:rsid w:val="00F3520A"/>
    <w:rsid w:val="00F36CAE"/>
    <w:rsid w:val="00F423C5"/>
    <w:rsid w:val="00F469E1"/>
    <w:rsid w:val="00F51452"/>
    <w:rsid w:val="00F53494"/>
    <w:rsid w:val="00F549E8"/>
    <w:rsid w:val="00F554BA"/>
    <w:rsid w:val="00F56D3B"/>
    <w:rsid w:val="00F60E58"/>
    <w:rsid w:val="00F6132D"/>
    <w:rsid w:val="00F63998"/>
    <w:rsid w:val="00F8573D"/>
    <w:rsid w:val="00FA0162"/>
    <w:rsid w:val="00FA0402"/>
    <w:rsid w:val="00FA53E0"/>
    <w:rsid w:val="00FB09D1"/>
    <w:rsid w:val="00FB234A"/>
    <w:rsid w:val="00FB2972"/>
    <w:rsid w:val="00FB325B"/>
    <w:rsid w:val="00FB4706"/>
    <w:rsid w:val="00FB4ABA"/>
    <w:rsid w:val="00FC2A97"/>
    <w:rsid w:val="00FD0260"/>
    <w:rsid w:val="00FD1E7C"/>
    <w:rsid w:val="00FD34A4"/>
    <w:rsid w:val="00FD5C7F"/>
    <w:rsid w:val="00FE07CF"/>
    <w:rsid w:val="00FE100F"/>
    <w:rsid w:val="00FE371A"/>
    <w:rsid w:val="00FE3CFF"/>
    <w:rsid w:val="00FE4D20"/>
    <w:rsid w:val="00FE58CE"/>
    <w:rsid w:val="00FF0CEF"/>
    <w:rsid w:val="00FF0EBC"/>
    <w:rsid w:val="00FF4CA3"/>
    <w:rsid w:val="0163584E"/>
    <w:rsid w:val="01D05FFF"/>
    <w:rsid w:val="020169A0"/>
    <w:rsid w:val="0319515C"/>
    <w:rsid w:val="03363009"/>
    <w:rsid w:val="03CC3D26"/>
    <w:rsid w:val="04191C13"/>
    <w:rsid w:val="04213335"/>
    <w:rsid w:val="054F1817"/>
    <w:rsid w:val="060E378B"/>
    <w:rsid w:val="06675986"/>
    <w:rsid w:val="06912ECC"/>
    <w:rsid w:val="06C92E71"/>
    <w:rsid w:val="070635C0"/>
    <w:rsid w:val="07321C8B"/>
    <w:rsid w:val="07536D65"/>
    <w:rsid w:val="07AA0B12"/>
    <w:rsid w:val="07AC32A8"/>
    <w:rsid w:val="07C254F1"/>
    <w:rsid w:val="08003208"/>
    <w:rsid w:val="086D7546"/>
    <w:rsid w:val="08D92FD7"/>
    <w:rsid w:val="094643EA"/>
    <w:rsid w:val="09946172"/>
    <w:rsid w:val="0A0507D3"/>
    <w:rsid w:val="0A4C4B3C"/>
    <w:rsid w:val="0A805EE2"/>
    <w:rsid w:val="0AB73897"/>
    <w:rsid w:val="0B7B5E26"/>
    <w:rsid w:val="0C195CEF"/>
    <w:rsid w:val="0C936AD5"/>
    <w:rsid w:val="0C9D1B5A"/>
    <w:rsid w:val="0E2A353E"/>
    <w:rsid w:val="0E8C6521"/>
    <w:rsid w:val="0EB506FD"/>
    <w:rsid w:val="0EED74CF"/>
    <w:rsid w:val="0F1B7F76"/>
    <w:rsid w:val="0F46051D"/>
    <w:rsid w:val="0FAB3922"/>
    <w:rsid w:val="10066A19"/>
    <w:rsid w:val="1040705B"/>
    <w:rsid w:val="10BC0356"/>
    <w:rsid w:val="10C617D3"/>
    <w:rsid w:val="1178771A"/>
    <w:rsid w:val="11EB3581"/>
    <w:rsid w:val="12001F3E"/>
    <w:rsid w:val="1216250E"/>
    <w:rsid w:val="12652271"/>
    <w:rsid w:val="127F7D62"/>
    <w:rsid w:val="12DC2FB4"/>
    <w:rsid w:val="137DF58B"/>
    <w:rsid w:val="13CC75C7"/>
    <w:rsid w:val="142643B6"/>
    <w:rsid w:val="1541C683"/>
    <w:rsid w:val="15A95145"/>
    <w:rsid w:val="15CE27A2"/>
    <w:rsid w:val="16874C3D"/>
    <w:rsid w:val="16A13A69"/>
    <w:rsid w:val="170776D6"/>
    <w:rsid w:val="172C1F3C"/>
    <w:rsid w:val="17A95F18"/>
    <w:rsid w:val="17DFF2AA"/>
    <w:rsid w:val="188817BA"/>
    <w:rsid w:val="193F424D"/>
    <w:rsid w:val="19EF2566"/>
    <w:rsid w:val="1A710883"/>
    <w:rsid w:val="1AE6326E"/>
    <w:rsid w:val="1C116B9D"/>
    <w:rsid w:val="1D110C8F"/>
    <w:rsid w:val="1D25051C"/>
    <w:rsid w:val="1D34054F"/>
    <w:rsid w:val="1D473463"/>
    <w:rsid w:val="1D994904"/>
    <w:rsid w:val="1E306814"/>
    <w:rsid w:val="1E5D077B"/>
    <w:rsid w:val="1ED461AD"/>
    <w:rsid w:val="1F5723F1"/>
    <w:rsid w:val="1F611373"/>
    <w:rsid w:val="205822DD"/>
    <w:rsid w:val="20710452"/>
    <w:rsid w:val="20C10DE7"/>
    <w:rsid w:val="210B38D7"/>
    <w:rsid w:val="21222FD1"/>
    <w:rsid w:val="221A338A"/>
    <w:rsid w:val="229D7CE4"/>
    <w:rsid w:val="229E55F3"/>
    <w:rsid w:val="2350029A"/>
    <w:rsid w:val="240F533D"/>
    <w:rsid w:val="242714CD"/>
    <w:rsid w:val="24DE7749"/>
    <w:rsid w:val="25240ABA"/>
    <w:rsid w:val="252B309E"/>
    <w:rsid w:val="2544441B"/>
    <w:rsid w:val="259C1882"/>
    <w:rsid w:val="25D318EA"/>
    <w:rsid w:val="25E0365D"/>
    <w:rsid w:val="25F762B5"/>
    <w:rsid w:val="2676780B"/>
    <w:rsid w:val="267A393A"/>
    <w:rsid w:val="26920BCE"/>
    <w:rsid w:val="26AD3CFC"/>
    <w:rsid w:val="27225D2C"/>
    <w:rsid w:val="27647CB3"/>
    <w:rsid w:val="27EE1106"/>
    <w:rsid w:val="27F365BB"/>
    <w:rsid w:val="288B1EED"/>
    <w:rsid w:val="28A47424"/>
    <w:rsid w:val="290C626B"/>
    <w:rsid w:val="29B6665C"/>
    <w:rsid w:val="29C72909"/>
    <w:rsid w:val="2A5C7F4D"/>
    <w:rsid w:val="2AF33CAC"/>
    <w:rsid w:val="2B1601F7"/>
    <w:rsid w:val="2B4B0501"/>
    <w:rsid w:val="2B8D163B"/>
    <w:rsid w:val="2BBA0936"/>
    <w:rsid w:val="2BF7E451"/>
    <w:rsid w:val="2C135207"/>
    <w:rsid w:val="2DBE0AAB"/>
    <w:rsid w:val="2DE676CE"/>
    <w:rsid w:val="2DE7706B"/>
    <w:rsid w:val="2E2057D6"/>
    <w:rsid w:val="2F012C62"/>
    <w:rsid w:val="2F651547"/>
    <w:rsid w:val="2F7727B8"/>
    <w:rsid w:val="2F773838"/>
    <w:rsid w:val="2FC32DF9"/>
    <w:rsid w:val="2FDB2CF5"/>
    <w:rsid w:val="2FE12572"/>
    <w:rsid w:val="307F5ED0"/>
    <w:rsid w:val="30FC6F43"/>
    <w:rsid w:val="313A06AE"/>
    <w:rsid w:val="3181709E"/>
    <w:rsid w:val="318B2B82"/>
    <w:rsid w:val="321A3C18"/>
    <w:rsid w:val="32484B95"/>
    <w:rsid w:val="32865B4B"/>
    <w:rsid w:val="32C35FE3"/>
    <w:rsid w:val="32E02E40"/>
    <w:rsid w:val="33CFDAA8"/>
    <w:rsid w:val="34553CD9"/>
    <w:rsid w:val="345A110D"/>
    <w:rsid w:val="34B2424A"/>
    <w:rsid w:val="34EB7AA8"/>
    <w:rsid w:val="36060B14"/>
    <w:rsid w:val="365E459B"/>
    <w:rsid w:val="36773E97"/>
    <w:rsid w:val="36B2732B"/>
    <w:rsid w:val="36C17947"/>
    <w:rsid w:val="36CE7A44"/>
    <w:rsid w:val="36CF270D"/>
    <w:rsid w:val="37090BFF"/>
    <w:rsid w:val="373434E1"/>
    <w:rsid w:val="375D525C"/>
    <w:rsid w:val="377A1B1D"/>
    <w:rsid w:val="37AA4724"/>
    <w:rsid w:val="37BB132E"/>
    <w:rsid w:val="37BC6F25"/>
    <w:rsid w:val="383E3C47"/>
    <w:rsid w:val="38551581"/>
    <w:rsid w:val="38610808"/>
    <w:rsid w:val="39696FBC"/>
    <w:rsid w:val="3987016C"/>
    <w:rsid w:val="39F55FFD"/>
    <w:rsid w:val="3AB92861"/>
    <w:rsid w:val="3B24635C"/>
    <w:rsid w:val="3B4B1DAB"/>
    <w:rsid w:val="3B762164"/>
    <w:rsid w:val="3BA03442"/>
    <w:rsid w:val="3BD9DFCE"/>
    <w:rsid w:val="3C384EE5"/>
    <w:rsid w:val="3C3D5725"/>
    <w:rsid w:val="3C4B7CF9"/>
    <w:rsid w:val="3C6C0FD9"/>
    <w:rsid w:val="3C817B55"/>
    <w:rsid w:val="3C8842D2"/>
    <w:rsid w:val="3D383E60"/>
    <w:rsid w:val="3DDB4AE6"/>
    <w:rsid w:val="3DEF8DA7"/>
    <w:rsid w:val="3E20723C"/>
    <w:rsid w:val="3EDE43DB"/>
    <w:rsid w:val="3F0B4D43"/>
    <w:rsid w:val="3F59596E"/>
    <w:rsid w:val="3FC81436"/>
    <w:rsid w:val="3FD43432"/>
    <w:rsid w:val="3FEFFF73"/>
    <w:rsid w:val="3FFF694F"/>
    <w:rsid w:val="406F0E64"/>
    <w:rsid w:val="40C960AB"/>
    <w:rsid w:val="410A0E90"/>
    <w:rsid w:val="4136376C"/>
    <w:rsid w:val="41545524"/>
    <w:rsid w:val="426116EA"/>
    <w:rsid w:val="426F0740"/>
    <w:rsid w:val="431D3BDD"/>
    <w:rsid w:val="44092C60"/>
    <w:rsid w:val="445743B6"/>
    <w:rsid w:val="44B9718F"/>
    <w:rsid w:val="45AA28C8"/>
    <w:rsid w:val="4610032C"/>
    <w:rsid w:val="463338FF"/>
    <w:rsid w:val="46467517"/>
    <w:rsid w:val="464C1851"/>
    <w:rsid w:val="46F73CE8"/>
    <w:rsid w:val="47076747"/>
    <w:rsid w:val="4752426E"/>
    <w:rsid w:val="477B195D"/>
    <w:rsid w:val="48001D13"/>
    <w:rsid w:val="485B4AAB"/>
    <w:rsid w:val="485F7407"/>
    <w:rsid w:val="499E1B87"/>
    <w:rsid w:val="49AF2855"/>
    <w:rsid w:val="49C655FF"/>
    <w:rsid w:val="4A0D22E8"/>
    <w:rsid w:val="4ADF5EF2"/>
    <w:rsid w:val="4B3532C9"/>
    <w:rsid w:val="4BE3764A"/>
    <w:rsid w:val="4CD90B64"/>
    <w:rsid w:val="4D590929"/>
    <w:rsid w:val="4D7A55E4"/>
    <w:rsid w:val="4D901086"/>
    <w:rsid w:val="4D9D54D8"/>
    <w:rsid w:val="4E176EE1"/>
    <w:rsid w:val="4E355448"/>
    <w:rsid w:val="4FBA5B0F"/>
    <w:rsid w:val="4FE435F9"/>
    <w:rsid w:val="50D61900"/>
    <w:rsid w:val="511B0897"/>
    <w:rsid w:val="51377916"/>
    <w:rsid w:val="515246F0"/>
    <w:rsid w:val="517543C4"/>
    <w:rsid w:val="51881CC9"/>
    <w:rsid w:val="51EC3913"/>
    <w:rsid w:val="52580F7A"/>
    <w:rsid w:val="52C80056"/>
    <w:rsid w:val="52D839DB"/>
    <w:rsid w:val="5321653D"/>
    <w:rsid w:val="536253D5"/>
    <w:rsid w:val="537F5839"/>
    <w:rsid w:val="53923F42"/>
    <w:rsid w:val="53C32F6F"/>
    <w:rsid w:val="53E02028"/>
    <w:rsid w:val="53EC0908"/>
    <w:rsid w:val="547A1D8F"/>
    <w:rsid w:val="548B0ADF"/>
    <w:rsid w:val="551604F7"/>
    <w:rsid w:val="55E07437"/>
    <w:rsid w:val="56114DF6"/>
    <w:rsid w:val="56473772"/>
    <w:rsid w:val="56AE64FE"/>
    <w:rsid w:val="56FDA976"/>
    <w:rsid w:val="576042CA"/>
    <w:rsid w:val="597A4533"/>
    <w:rsid w:val="5A8852AC"/>
    <w:rsid w:val="5B5D299E"/>
    <w:rsid w:val="5C0543C5"/>
    <w:rsid w:val="5C10122B"/>
    <w:rsid w:val="5C4B1D9C"/>
    <w:rsid w:val="5C4E7AFF"/>
    <w:rsid w:val="5C6502DD"/>
    <w:rsid w:val="5C68320D"/>
    <w:rsid w:val="5CD048D3"/>
    <w:rsid w:val="5D4D7CF1"/>
    <w:rsid w:val="5D9B530A"/>
    <w:rsid w:val="5DA3771E"/>
    <w:rsid w:val="5DC75CBF"/>
    <w:rsid w:val="5DFC4814"/>
    <w:rsid w:val="5E195702"/>
    <w:rsid w:val="5F3F40E0"/>
    <w:rsid w:val="5FDD7314"/>
    <w:rsid w:val="60146884"/>
    <w:rsid w:val="6053777B"/>
    <w:rsid w:val="609365FB"/>
    <w:rsid w:val="609A0B54"/>
    <w:rsid w:val="60A20259"/>
    <w:rsid w:val="614A5AC9"/>
    <w:rsid w:val="616F5442"/>
    <w:rsid w:val="61781FBB"/>
    <w:rsid w:val="61A65932"/>
    <w:rsid w:val="61D418F4"/>
    <w:rsid w:val="61F3768F"/>
    <w:rsid w:val="624F5BA6"/>
    <w:rsid w:val="62892FF1"/>
    <w:rsid w:val="62957606"/>
    <w:rsid w:val="629800CE"/>
    <w:rsid w:val="630B1575"/>
    <w:rsid w:val="630E4C2B"/>
    <w:rsid w:val="63D52A09"/>
    <w:rsid w:val="6436231F"/>
    <w:rsid w:val="64B1665B"/>
    <w:rsid w:val="658255E3"/>
    <w:rsid w:val="66EF5579"/>
    <w:rsid w:val="670F13A6"/>
    <w:rsid w:val="675970EC"/>
    <w:rsid w:val="67798DB9"/>
    <w:rsid w:val="69C8439F"/>
    <w:rsid w:val="69FC42B5"/>
    <w:rsid w:val="6A172C3E"/>
    <w:rsid w:val="6A1F7227"/>
    <w:rsid w:val="6A2B3A33"/>
    <w:rsid w:val="6A5060E3"/>
    <w:rsid w:val="6AD11027"/>
    <w:rsid w:val="6B8E2BDD"/>
    <w:rsid w:val="6BA01411"/>
    <w:rsid w:val="6C85416A"/>
    <w:rsid w:val="6CA8779E"/>
    <w:rsid w:val="6CC7620F"/>
    <w:rsid w:val="6CD55617"/>
    <w:rsid w:val="6D784E27"/>
    <w:rsid w:val="6DE72ADC"/>
    <w:rsid w:val="6DF42FFF"/>
    <w:rsid w:val="6E46610D"/>
    <w:rsid w:val="6F2860C4"/>
    <w:rsid w:val="700E70A4"/>
    <w:rsid w:val="701436C0"/>
    <w:rsid w:val="701D4582"/>
    <w:rsid w:val="703B5F01"/>
    <w:rsid w:val="70823CF1"/>
    <w:rsid w:val="70FF4B00"/>
    <w:rsid w:val="71631C42"/>
    <w:rsid w:val="72F34640"/>
    <w:rsid w:val="72FB844D"/>
    <w:rsid w:val="732602F4"/>
    <w:rsid w:val="7385581B"/>
    <w:rsid w:val="73AB2B1C"/>
    <w:rsid w:val="73B32751"/>
    <w:rsid w:val="73B51ED0"/>
    <w:rsid w:val="74707402"/>
    <w:rsid w:val="74734E35"/>
    <w:rsid w:val="7494468F"/>
    <w:rsid w:val="74A06FE4"/>
    <w:rsid w:val="76C93133"/>
    <w:rsid w:val="76DD1F88"/>
    <w:rsid w:val="77102E1D"/>
    <w:rsid w:val="7726177A"/>
    <w:rsid w:val="777450BA"/>
    <w:rsid w:val="77B759FB"/>
    <w:rsid w:val="77BA5A86"/>
    <w:rsid w:val="77C52886"/>
    <w:rsid w:val="78315971"/>
    <w:rsid w:val="787B60B4"/>
    <w:rsid w:val="796D0417"/>
    <w:rsid w:val="798533F1"/>
    <w:rsid w:val="7A5C612D"/>
    <w:rsid w:val="7A6832B1"/>
    <w:rsid w:val="7A8B4051"/>
    <w:rsid w:val="7AA91846"/>
    <w:rsid w:val="7ACD9111"/>
    <w:rsid w:val="7AEA0E16"/>
    <w:rsid w:val="7B37C95C"/>
    <w:rsid w:val="7B81062C"/>
    <w:rsid w:val="7BC9315C"/>
    <w:rsid w:val="7BFF82C7"/>
    <w:rsid w:val="7CC607E9"/>
    <w:rsid w:val="7CD0572E"/>
    <w:rsid w:val="7D076223"/>
    <w:rsid w:val="7D2174F6"/>
    <w:rsid w:val="7D395F44"/>
    <w:rsid w:val="7D980227"/>
    <w:rsid w:val="7E377A4B"/>
    <w:rsid w:val="7EB2596C"/>
    <w:rsid w:val="7EF24CF5"/>
    <w:rsid w:val="7EF39019"/>
    <w:rsid w:val="7EFDF9A0"/>
    <w:rsid w:val="7F36890E"/>
    <w:rsid w:val="7F4E2D0D"/>
    <w:rsid w:val="7F590989"/>
    <w:rsid w:val="7F7C367A"/>
    <w:rsid w:val="7FD98980"/>
    <w:rsid w:val="7FE57EB2"/>
    <w:rsid w:val="7FF16B8B"/>
    <w:rsid w:val="7FF21965"/>
    <w:rsid w:val="7FFFB322"/>
    <w:rsid w:val="8BBFFD50"/>
    <w:rsid w:val="AFDB007C"/>
    <w:rsid w:val="B7FBA59A"/>
    <w:rsid w:val="BBB5CF8C"/>
    <w:rsid w:val="BCFA5B2D"/>
    <w:rsid w:val="BE794046"/>
    <w:rsid w:val="BEFF48F8"/>
    <w:rsid w:val="BFCBE9B2"/>
    <w:rsid w:val="D5BF40E4"/>
    <w:rsid w:val="D7B5A3FF"/>
    <w:rsid w:val="DF7E7669"/>
    <w:rsid w:val="DFF7ECA3"/>
    <w:rsid w:val="E76F168F"/>
    <w:rsid w:val="EB7C8786"/>
    <w:rsid w:val="EDFC8075"/>
    <w:rsid w:val="EF31FFF5"/>
    <w:rsid w:val="EFBF1D05"/>
    <w:rsid w:val="EFDF8A00"/>
    <w:rsid w:val="F6678AFD"/>
    <w:rsid w:val="F6BF1FF9"/>
    <w:rsid w:val="FA4F86F6"/>
    <w:rsid w:val="FBDFC240"/>
    <w:rsid w:val="FCF1E061"/>
    <w:rsid w:val="FDD8E9C9"/>
    <w:rsid w:val="FDF7410B"/>
    <w:rsid w:val="FE9E89F4"/>
    <w:rsid w:val="FEE3B3E0"/>
    <w:rsid w:val="FEF9E1D2"/>
    <w:rsid w:val="FF7BCB56"/>
    <w:rsid w:val="FFADA06F"/>
    <w:rsid w:val="FFBE5892"/>
    <w:rsid w:val="FFFD95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微软雅黑" w:cs="宋体"/>
      <w:sz w:val="24"/>
      <w:szCs w:val="24"/>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spacing w:before="260" w:after="260" w:line="413" w:lineRule="auto"/>
      <w:outlineLvl w:val="2"/>
    </w:pPr>
    <w:rPr>
      <w:b/>
      <w:sz w:val="44"/>
    </w:rPr>
  </w:style>
  <w:style w:type="paragraph" w:styleId="5">
    <w:name w:val="heading 4"/>
    <w:basedOn w:val="1"/>
    <w:next w:val="1"/>
    <w:unhideWhenUsed/>
    <w:qFormat/>
    <w:uiPriority w:val="9"/>
    <w:pPr>
      <w:keepNext/>
      <w:keepLines/>
      <w:spacing w:before="280" w:after="290" w:line="372" w:lineRule="auto"/>
      <w:outlineLvl w:val="3"/>
    </w:pPr>
    <w:rPr>
      <w:rFonts w:ascii="Arial" w:hAnsi="Arial"/>
      <w:b/>
    </w:rPr>
  </w:style>
  <w:style w:type="paragraph" w:styleId="6">
    <w:name w:val="heading 5"/>
    <w:basedOn w:val="1"/>
    <w:next w:val="1"/>
    <w:unhideWhenUsed/>
    <w:qFormat/>
    <w:uiPriority w:val="9"/>
    <w:pPr>
      <w:keepNext/>
      <w:keepLines/>
      <w:spacing w:before="280" w:after="290" w:line="372" w:lineRule="auto"/>
      <w:outlineLvl w:val="4"/>
    </w:pPr>
    <w:rPr>
      <w:rFonts w:eastAsia="仿宋"/>
      <w:sz w:val="28"/>
    </w:rPr>
  </w:style>
  <w:style w:type="paragraph" w:styleId="7">
    <w:name w:val="heading 6"/>
    <w:basedOn w:val="1"/>
    <w:next w:val="1"/>
    <w:link w:val="47"/>
    <w:unhideWhenUsed/>
    <w:qFormat/>
    <w:uiPriority w:val="9"/>
    <w:pPr>
      <w:keepNext/>
      <w:keepLines/>
      <w:spacing w:before="240" w:after="64" w:line="320" w:lineRule="auto"/>
      <w:outlineLvl w:val="5"/>
    </w:pPr>
    <w:rPr>
      <w:rFonts w:asciiTheme="majorHAnsi" w:hAnsiTheme="majorHAnsi" w:eastAsiaTheme="majorEastAsia" w:cstheme="majorBidi"/>
      <w:b/>
      <w:bCs/>
    </w:rPr>
  </w:style>
  <w:style w:type="character" w:default="1" w:styleId="19">
    <w:name w:val="Default Paragraph Font"/>
    <w:unhideWhenUsed/>
    <w:qFormat/>
    <w:uiPriority w:val="1"/>
  </w:style>
  <w:style w:type="table" w:default="1" w:styleId="22">
    <w:name w:val="Normal Table"/>
    <w:unhideWhenUsed/>
    <w:qFormat/>
    <w:uiPriority w:val="99"/>
    <w:tblPr>
      <w:tblCellMar>
        <w:top w:w="0" w:type="dxa"/>
        <w:left w:w="108" w:type="dxa"/>
        <w:bottom w:w="0" w:type="dxa"/>
        <w:right w:w="108" w:type="dxa"/>
      </w:tblCellMar>
    </w:tblPr>
  </w:style>
  <w:style w:type="paragraph" w:styleId="8">
    <w:name w:val="Normal Indent"/>
    <w:basedOn w:val="1"/>
    <w:link w:val="38"/>
    <w:unhideWhenUsed/>
    <w:qFormat/>
    <w:uiPriority w:val="0"/>
    <w:pPr>
      <w:widowControl w:val="0"/>
      <w:ind w:firstLine="420" w:firstLineChars="200"/>
      <w:jc w:val="both"/>
    </w:pPr>
    <w:rPr>
      <w:rFonts w:ascii="Calibri" w:hAnsi="Calibri" w:cs="Times New Roman"/>
      <w:kern w:val="2"/>
      <w:szCs w:val="22"/>
    </w:rPr>
  </w:style>
  <w:style w:type="paragraph" w:styleId="9">
    <w:name w:val="Body Text"/>
    <w:basedOn w:val="1"/>
    <w:link w:val="36"/>
    <w:qFormat/>
    <w:uiPriority w:val="0"/>
    <w:pPr>
      <w:widowControl w:val="0"/>
      <w:spacing w:after="120"/>
      <w:jc w:val="both"/>
    </w:pPr>
    <w:rPr>
      <w:rFonts w:ascii="Times New Roman" w:hAnsi="Times New Roman" w:eastAsia="宋体" w:cs="Times New Roman"/>
      <w:kern w:val="2"/>
      <w:sz w:val="21"/>
    </w:rPr>
  </w:style>
  <w:style w:type="paragraph" w:styleId="10">
    <w:name w:val="toc 3"/>
    <w:basedOn w:val="1"/>
    <w:next w:val="1"/>
    <w:unhideWhenUsed/>
    <w:qFormat/>
    <w:uiPriority w:val="39"/>
    <w:pPr>
      <w:tabs>
        <w:tab w:val="right" w:leader="dot" w:pos="8296"/>
      </w:tabs>
      <w:spacing w:line="360" w:lineRule="auto"/>
      <w:ind w:left="960" w:leftChars="400"/>
      <w:jc w:val="distribute"/>
    </w:pPr>
  </w:style>
  <w:style w:type="paragraph" w:styleId="11">
    <w:name w:val="Date"/>
    <w:basedOn w:val="1"/>
    <w:next w:val="1"/>
    <w:link w:val="33"/>
    <w:unhideWhenUsed/>
    <w:qFormat/>
    <w:uiPriority w:val="99"/>
    <w:pPr>
      <w:ind w:left="100" w:leftChars="2500"/>
    </w:pPr>
  </w:style>
  <w:style w:type="paragraph" w:styleId="12">
    <w:name w:val="Balloon Text"/>
    <w:basedOn w:val="1"/>
    <w:link w:val="30"/>
    <w:unhideWhenUsed/>
    <w:qFormat/>
    <w:uiPriority w:val="0"/>
    <w:rPr>
      <w:sz w:val="18"/>
      <w:szCs w:val="18"/>
    </w:rPr>
  </w:style>
  <w:style w:type="paragraph" w:styleId="13">
    <w:name w:val="footer"/>
    <w:basedOn w:val="1"/>
    <w:link w:val="31"/>
    <w:unhideWhenUsed/>
    <w:qFormat/>
    <w:uiPriority w:val="0"/>
    <w:pPr>
      <w:tabs>
        <w:tab w:val="center" w:pos="4153"/>
        <w:tab w:val="right" w:pos="8306"/>
      </w:tabs>
      <w:snapToGrid w:val="0"/>
    </w:pPr>
    <w:rPr>
      <w:sz w:val="18"/>
    </w:rPr>
  </w:style>
  <w:style w:type="paragraph" w:styleId="1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5">
    <w:name w:val="toc 1"/>
    <w:basedOn w:val="1"/>
    <w:next w:val="1"/>
    <w:unhideWhenUsed/>
    <w:qFormat/>
    <w:uiPriority w:val="39"/>
  </w:style>
  <w:style w:type="paragraph" w:styleId="16">
    <w:name w:val="toc 4"/>
    <w:basedOn w:val="1"/>
    <w:next w:val="1"/>
    <w:unhideWhenUsed/>
    <w:qFormat/>
    <w:uiPriority w:val="39"/>
    <w:pPr>
      <w:ind w:left="1260" w:leftChars="600"/>
    </w:pPr>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pPr>
      <w:spacing w:before="100" w:beforeAutospacing="1" w:after="100" w:afterAutospacing="1"/>
    </w:pPr>
  </w:style>
  <w:style w:type="character" w:styleId="20">
    <w:name w:val="Strong"/>
    <w:basedOn w:val="19"/>
    <w:qFormat/>
    <w:uiPriority w:val="22"/>
    <w:rPr>
      <w:b/>
      <w:bCs/>
    </w:rPr>
  </w:style>
  <w:style w:type="character" w:styleId="21">
    <w:name w:val="Hyperlink"/>
    <w:basedOn w:val="19"/>
    <w:unhideWhenUsed/>
    <w:qFormat/>
    <w:uiPriority w:val="99"/>
    <w:rPr>
      <w:color w:val="0563C1" w:themeColor="hyperlink"/>
      <w:u w:val="single"/>
      <w14:textFill>
        <w14:solidFill>
          <w14:schemeClr w14:val="hlink"/>
        </w14:solidFill>
      </w14:textFill>
    </w:rPr>
  </w:style>
  <w:style w:type="table" w:styleId="23">
    <w:name w:val="Table Grid"/>
    <w:basedOn w:val="22"/>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
    <w:name w:val="标题 1 字符"/>
    <w:basedOn w:val="19"/>
    <w:link w:val="2"/>
    <w:qFormat/>
    <w:uiPriority w:val="9"/>
    <w:rPr>
      <w:b/>
      <w:bCs/>
      <w:kern w:val="44"/>
      <w:sz w:val="44"/>
      <w:szCs w:val="44"/>
    </w:rPr>
  </w:style>
  <w:style w:type="character" w:customStyle="1" w:styleId="25">
    <w:name w:val="标题 2 字符"/>
    <w:basedOn w:val="19"/>
    <w:link w:val="3"/>
    <w:qFormat/>
    <w:uiPriority w:val="9"/>
    <w:rPr>
      <w:rFonts w:asciiTheme="majorHAnsi" w:hAnsiTheme="majorHAnsi" w:eastAsiaTheme="majorEastAsia" w:cstheme="majorBidi"/>
      <w:b/>
      <w:bCs/>
      <w:sz w:val="32"/>
      <w:szCs w:val="32"/>
    </w:rPr>
  </w:style>
  <w:style w:type="paragraph" w:customStyle="1" w:styleId="26">
    <w:name w:val="List Paragraph"/>
    <w:basedOn w:val="1"/>
    <w:qFormat/>
    <w:uiPriority w:val="34"/>
    <w:pPr>
      <w:ind w:firstLine="420"/>
    </w:pPr>
  </w:style>
  <w:style w:type="paragraph" w:customStyle="1" w:styleId="27">
    <w:name w:val="WPSOffice手动目录 1"/>
    <w:qFormat/>
    <w:uiPriority w:val="0"/>
    <w:rPr>
      <w:rFonts w:ascii="Times New Roman" w:hAnsi="Times New Roman" w:eastAsia="宋体" w:cs="Times New Roman"/>
      <w:lang w:val="en-US" w:eastAsia="zh-CN" w:bidi="ar-SA"/>
    </w:rPr>
  </w:style>
  <w:style w:type="paragraph" w:customStyle="1" w:styleId="28">
    <w:name w:val="正文360首行缩进"/>
    <w:basedOn w:val="1"/>
    <w:link w:val="29"/>
    <w:qFormat/>
    <w:uiPriority w:val="0"/>
    <w:pPr>
      <w:spacing w:after="50" w:line="300" w:lineRule="auto"/>
    </w:pPr>
    <w:rPr>
      <w:rFonts w:ascii="Arial" w:hAnsi="Arial"/>
      <w:szCs w:val="21"/>
    </w:rPr>
  </w:style>
  <w:style w:type="character" w:customStyle="1" w:styleId="29">
    <w:name w:val="正文360首行缩进 Char"/>
    <w:link w:val="28"/>
    <w:qFormat/>
    <w:uiPriority w:val="0"/>
    <w:rPr>
      <w:rFonts w:ascii="Arial" w:hAnsi="Arial" w:eastAsiaTheme="minorEastAsia"/>
      <w:kern w:val="0"/>
      <w:szCs w:val="21"/>
    </w:rPr>
  </w:style>
  <w:style w:type="character" w:customStyle="1" w:styleId="30">
    <w:name w:val="批注框文本 字符"/>
    <w:basedOn w:val="19"/>
    <w:link w:val="12"/>
    <w:qFormat/>
    <w:uiPriority w:val="0"/>
    <w:rPr>
      <w:kern w:val="2"/>
      <w:sz w:val="18"/>
      <w:szCs w:val="18"/>
    </w:rPr>
  </w:style>
  <w:style w:type="character" w:customStyle="1" w:styleId="31">
    <w:name w:val="页脚 字符"/>
    <w:basedOn w:val="19"/>
    <w:link w:val="13"/>
    <w:qFormat/>
    <w:uiPriority w:val="99"/>
    <w:rPr>
      <w:kern w:val="2"/>
      <w:sz w:val="18"/>
      <w:szCs w:val="22"/>
    </w:rPr>
  </w:style>
  <w:style w:type="paragraph" w:customStyle="1" w:styleId="3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3">
    <w:name w:val="日期 字符"/>
    <w:basedOn w:val="19"/>
    <w:link w:val="11"/>
    <w:semiHidden/>
    <w:qFormat/>
    <w:uiPriority w:val="99"/>
    <w:rPr>
      <w:rFonts w:ascii="宋体" w:hAnsi="宋体" w:eastAsia="宋体" w:cs="宋体"/>
      <w:sz w:val="24"/>
      <w:szCs w:val="24"/>
    </w:rPr>
  </w:style>
  <w:style w:type="paragraph" w:customStyle="1" w:styleId="34">
    <w:name w:val="正文图标题"/>
    <w:next w:val="1"/>
    <w:qFormat/>
    <w:uiPriority w:val="0"/>
    <w:pPr>
      <w:numPr>
        <w:ilvl w:val="0"/>
        <w:numId w:val="1"/>
      </w:numPr>
      <w:spacing w:before="156" w:beforeLines="50" w:after="156" w:afterLines="50"/>
      <w:jc w:val="center"/>
    </w:pPr>
    <w:rPr>
      <w:rFonts w:ascii="黑体" w:hAnsi="Times New Roman" w:eastAsia="黑体" w:cs="Times New Roman"/>
      <w:sz w:val="21"/>
      <w:lang w:val="en-US" w:eastAsia="zh-CN" w:bidi="ar-SA"/>
    </w:rPr>
  </w:style>
  <w:style w:type="paragraph" w:customStyle="1" w:styleId="35">
    <w:name w:val="列表段落1"/>
    <w:basedOn w:val="1"/>
    <w:qFormat/>
    <w:uiPriority w:val="34"/>
    <w:pPr>
      <w:widowControl w:val="0"/>
      <w:ind w:firstLine="420" w:firstLineChars="200"/>
      <w:jc w:val="both"/>
    </w:pPr>
    <w:rPr>
      <w:rFonts w:ascii="Times New Roman" w:hAnsi="Times New Roman" w:cs="Times New Roman"/>
      <w:kern w:val="2"/>
      <w:sz w:val="21"/>
    </w:rPr>
  </w:style>
  <w:style w:type="character" w:customStyle="1" w:styleId="36">
    <w:name w:val="正文文本 字符"/>
    <w:basedOn w:val="19"/>
    <w:link w:val="9"/>
    <w:qFormat/>
    <w:uiPriority w:val="0"/>
    <w:rPr>
      <w:rFonts w:ascii="Times New Roman" w:hAnsi="Times New Roman" w:eastAsia="宋体" w:cs="Times New Roman"/>
      <w:kern w:val="2"/>
      <w:sz w:val="21"/>
      <w:szCs w:val="24"/>
    </w:rPr>
  </w:style>
  <w:style w:type="paragraph" w:customStyle="1" w:styleId="37">
    <w:name w:val="wh5"/>
    <w:basedOn w:val="1"/>
    <w:qFormat/>
    <w:uiPriority w:val="0"/>
    <w:pPr>
      <w:widowControl w:val="0"/>
      <w:numPr>
        <w:ilvl w:val="4"/>
        <w:numId w:val="2"/>
      </w:numPr>
      <w:spacing w:line="360" w:lineRule="auto"/>
      <w:jc w:val="both"/>
      <w:outlineLvl w:val="4"/>
    </w:pPr>
    <w:rPr>
      <w:rFonts w:ascii="微软雅黑" w:hAnsi="微软雅黑" w:cstheme="minorBidi"/>
      <w:b/>
      <w:kern w:val="2"/>
      <w:sz w:val="28"/>
      <w:szCs w:val="22"/>
    </w:rPr>
  </w:style>
  <w:style w:type="character" w:customStyle="1" w:styleId="38">
    <w:name w:val="正文缩进 字符"/>
    <w:link w:val="8"/>
    <w:qFormat/>
    <w:uiPriority w:val="0"/>
    <w:rPr>
      <w:rFonts w:ascii="Calibri" w:hAnsi="Calibri" w:eastAsia="微软雅黑" w:cs="Times New Roman"/>
      <w:kern w:val="2"/>
      <w:sz w:val="24"/>
      <w:szCs w:val="22"/>
    </w:rPr>
  </w:style>
  <w:style w:type="paragraph" w:customStyle="1" w:styleId="39">
    <w:name w:val="wh1"/>
    <w:basedOn w:val="1"/>
    <w:qFormat/>
    <w:uiPriority w:val="0"/>
    <w:pPr>
      <w:widowControl w:val="0"/>
      <w:numPr>
        <w:ilvl w:val="0"/>
        <w:numId w:val="2"/>
      </w:numPr>
      <w:spacing w:line="360" w:lineRule="auto"/>
      <w:jc w:val="both"/>
      <w:outlineLvl w:val="0"/>
    </w:pPr>
    <w:rPr>
      <w:rFonts w:ascii="微软雅黑" w:hAnsi="微软雅黑" w:cstheme="minorBidi"/>
      <w:b/>
      <w:kern w:val="2"/>
      <w:sz w:val="44"/>
      <w:szCs w:val="22"/>
    </w:rPr>
  </w:style>
  <w:style w:type="paragraph" w:customStyle="1" w:styleId="40">
    <w:name w:val="wh2"/>
    <w:basedOn w:val="1"/>
    <w:qFormat/>
    <w:uiPriority w:val="0"/>
    <w:pPr>
      <w:widowControl w:val="0"/>
      <w:numPr>
        <w:ilvl w:val="1"/>
        <w:numId w:val="2"/>
      </w:numPr>
      <w:spacing w:line="360" w:lineRule="auto"/>
      <w:jc w:val="both"/>
      <w:outlineLvl w:val="1"/>
    </w:pPr>
    <w:rPr>
      <w:rFonts w:ascii="微软雅黑" w:hAnsi="微软雅黑" w:cstheme="minorBidi"/>
      <w:b/>
      <w:kern w:val="2"/>
      <w:sz w:val="36"/>
      <w:szCs w:val="22"/>
    </w:rPr>
  </w:style>
  <w:style w:type="paragraph" w:customStyle="1" w:styleId="41">
    <w:name w:val="wh3"/>
    <w:basedOn w:val="1"/>
    <w:link w:val="43"/>
    <w:qFormat/>
    <w:uiPriority w:val="0"/>
    <w:pPr>
      <w:widowControl w:val="0"/>
      <w:numPr>
        <w:ilvl w:val="2"/>
        <w:numId w:val="2"/>
      </w:numPr>
      <w:spacing w:line="360" w:lineRule="auto"/>
      <w:jc w:val="both"/>
      <w:outlineLvl w:val="2"/>
    </w:pPr>
    <w:rPr>
      <w:rFonts w:ascii="微软雅黑" w:hAnsi="微软雅黑" w:cstheme="minorBidi"/>
      <w:b/>
      <w:kern w:val="2"/>
      <w:sz w:val="32"/>
      <w:szCs w:val="22"/>
    </w:rPr>
  </w:style>
  <w:style w:type="paragraph" w:customStyle="1" w:styleId="42">
    <w:name w:val="wh4"/>
    <w:basedOn w:val="1"/>
    <w:link w:val="44"/>
    <w:qFormat/>
    <w:uiPriority w:val="0"/>
    <w:pPr>
      <w:widowControl w:val="0"/>
      <w:numPr>
        <w:ilvl w:val="3"/>
        <w:numId w:val="2"/>
      </w:numPr>
      <w:spacing w:line="360" w:lineRule="auto"/>
      <w:jc w:val="both"/>
      <w:outlineLvl w:val="3"/>
    </w:pPr>
    <w:rPr>
      <w:rFonts w:ascii="微软雅黑" w:hAnsi="微软雅黑" w:cstheme="minorBidi"/>
      <w:b/>
      <w:kern w:val="2"/>
      <w:sz w:val="30"/>
      <w:szCs w:val="22"/>
    </w:rPr>
  </w:style>
  <w:style w:type="character" w:customStyle="1" w:styleId="43">
    <w:name w:val="wh3 字符"/>
    <w:basedOn w:val="19"/>
    <w:link w:val="41"/>
    <w:qFormat/>
    <w:uiPriority w:val="0"/>
    <w:rPr>
      <w:rFonts w:ascii="微软雅黑" w:hAnsi="微软雅黑" w:eastAsia="微软雅黑"/>
      <w:b/>
      <w:kern w:val="2"/>
      <w:sz w:val="32"/>
      <w:szCs w:val="22"/>
    </w:rPr>
  </w:style>
  <w:style w:type="character" w:customStyle="1" w:styleId="44">
    <w:name w:val="wh4 字符"/>
    <w:basedOn w:val="19"/>
    <w:link w:val="42"/>
    <w:qFormat/>
    <w:uiPriority w:val="0"/>
    <w:rPr>
      <w:rFonts w:ascii="微软雅黑" w:hAnsi="微软雅黑" w:eastAsia="微软雅黑"/>
      <w:b/>
      <w:kern w:val="2"/>
      <w:sz w:val="30"/>
      <w:szCs w:val="22"/>
    </w:rPr>
  </w:style>
  <w:style w:type="paragraph" w:customStyle="1" w:styleId="45">
    <w:name w:val="标题6 lyr"/>
    <w:basedOn w:val="7"/>
    <w:qFormat/>
    <w:uiPriority w:val="0"/>
    <w:pPr>
      <w:widowControl w:val="0"/>
      <w:numPr>
        <w:ilvl w:val="5"/>
        <w:numId w:val="2"/>
      </w:numPr>
      <w:tabs>
        <w:tab w:val="left" w:pos="1152"/>
      </w:tabs>
      <w:spacing w:before="0" w:after="0" w:line="360" w:lineRule="auto"/>
      <w:ind w:left="2520" w:hanging="420"/>
      <w:jc w:val="both"/>
    </w:pPr>
    <w:rPr>
      <w:rFonts w:ascii="Times New Roman [TMC ]" w:hAnsi="Times New Roman [TMC ]" w:eastAsia="微软雅黑" w:cstheme="minorBidi"/>
      <w:kern w:val="2"/>
      <w:szCs w:val="22"/>
    </w:rPr>
  </w:style>
  <w:style w:type="paragraph" w:customStyle="1" w:styleId="46">
    <w:name w:val="1.正文"/>
    <w:qFormat/>
    <w:uiPriority w:val="0"/>
    <w:pPr>
      <w:widowControl w:val="0"/>
      <w:spacing w:line="360" w:lineRule="auto"/>
      <w:ind w:firstLine="480" w:firstLineChars="200"/>
    </w:pPr>
    <w:rPr>
      <w:rFonts w:ascii="微软雅黑" w:hAnsi="微软雅黑" w:eastAsia="微软雅黑" w:cs="Times New Roman"/>
      <w:color w:val="000000"/>
      <w:kern w:val="2"/>
      <w:sz w:val="24"/>
      <w:lang w:val="en-US" w:eastAsia="zh-CN" w:bidi="ar-SA"/>
    </w:rPr>
  </w:style>
  <w:style w:type="character" w:customStyle="1" w:styleId="47">
    <w:name w:val="标题 6 字符"/>
    <w:basedOn w:val="19"/>
    <w:link w:val="7"/>
    <w:semiHidden/>
    <w:qFormat/>
    <w:uiPriority w:val="9"/>
    <w:rPr>
      <w:rFonts w:asciiTheme="majorHAnsi" w:hAnsiTheme="majorHAnsi" w:eastAsiaTheme="majorEastAsia" w:cstheme="majorBidi"/>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665</Words>
  <Characters>3794</Characters>
  <Lines>31</Lines>
  <Paragraphs>8</Paragraphs>
  <ScaleCrop>false</ScaleCrop>
  <LinksUpToDate>false</LinksUpToDate>
  <CharactersWithSpaces>4451</CharactersWithSpaces>
  <Application>WPS Office_4.0.0.6524_F1E327BC-269C-435d-A152-05C5408002CA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2021-09-25T00:16:00Z</dcterms:created>
  <dc:creator>23874</dc:creator>
  <cp:lastModifiedBy>xiegm</cp:lastModifiedBy>
  <cp:lastPrinted>2020-10-10T17:25:00Z</cp:lastPrinted>
  <dcterms:modified xsi:type="dcterms:W3CDTF">2022-03-25T12:51:10Z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2052-4.0.0.6524</vt:lpwstr>
  </property>
  <property fmtid="{D5CDD505-2E9C-101B-9397-08002B2CF9AE}" pid="3" name="ICV">
    <vt:lpwstr>1DC51C038CE8407E951FAF080EA9B16C</vt:lpwstr>
  </property>
</Properties>
</file>