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统一安全扫描平台竞品分析"/>
    <w:p>
      <w:pPr>
        <w:pStyle w:val="Heading1"/>
      </w:pPr>
      <w:r>
        <w:t xml:space="preserve">统一安全扫描平台竞品分析</w:t>
      </w:r>
    </w:p>
    <w:p>
      <w:pPr>
        <w:pStyle w:val="BlockText"/>
      </w:pPr>
      <w:r>
        <w:t xml:space="preserve">本文聚焦 SAST/SCA/容器扫描/RASP 综合平台领域，比较自研 USS 与主流商业/开源方案之间的差异，为产品定位和迭代提供决策参考。</w:t>
      </w:r>
    </w:p>
    <w:bookmarkStart w:id="20" w:name="对比维度"/>
    <w:p>
      <w:pPr>
        <w:pStyle w:val="Heading2"/>
      </w:pPr>
      <w:r>
        <w:t xml:space="preserve">1. 对比维度</w:t>
      </w:r>
    </w:p>
    <w:p>
      <w:pPr>
        <w:pStyle w:val="Compact"/>
        <w:numPr>
          <w:ilvl w:val="0"/>
          <w:numId w:val="1001"/>
        </w:numPr>
      </w:pPr>
      <w:r>
        <w:t xml:space="preserve">能力覆盖：静态、依赖、容器、安全运行时</w:t>
      </w:r>
    </w:p>
    <w:p>
      <w:pPr>
        <w:pStyle w:val="Compact"/>
        <w:numPr>
          <w:ilvl w:val="0"/>
          <w:numId w:val="1001"/>
        </w:numPr>
      </w:pPr>
      <w:r>
        <w:t xml:space="preserve">部署模式：SaaS、私有化、本地化</w:t>
      </w:r>
    </w:p>
    <w:p>
      <w:pPr>
        <w:pStyle w:val="Compact"/>
        <w:numPr>
          <w:ilvl w:val="0"/>
          <w:numId w:val="1001"/>
        </w:numPr>
      </w:pPr>
      <w:r>
        <w:t xml:space="preserve">成本与授权：开源/商业/订阅</w:t>
      </w:r>
    </w:p>
    <w:p>
      <w:pPr>
        <w:pStyle w:val="Compact"/>
        <w:numPr>
          <w:ilvl w:val="0"/>
          <w:numId w:val="1001"/>
        </w:numPr>
      </w:pPr>
      <w:r>
        <w:t xml:space="preserve">可扩展性：规则库、插件、API 集成</w:t>
      </w:r>
    </w:p>
    <w:p>
      <w:pPr>
        <w:pStyle w:val="Compact"/>
        <w:numPr>
          <w:ilvl w:val="0"/>
          <w:numId w:val="1001"/>
        </w:numPr>
      </w:pPr>
      <w:r>
        <w:t xml:space="preserve">DevSecOps 支持：CI/CD、自动修复、通知</w:t>
      </w:r>
    </w:p>
    <w:bookmarkEnd w:id="20"/>
    <w:bookmarkStart w:id="21" w:name="竞品概览"/>
    <w:p>
      <w:pPr>
        <w:pStyle w:val="Heading2"/>
      </w:pPr>
      <w:r>
        <w:t xml:space="preserve">2. 竞品概览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USS（自研）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SAST、SCA、容器扫描、OpenRASP、CI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Compose，本地化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SAST、SCA、容器、IaC、修复建议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SaaS，企业版支持私有部署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Checkmarx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Checkmarx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SAST、SCA、IAST、Codebashing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SaaS/私有化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Aqua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容器、云原生、供应链安全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SaaS/私有化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阿里云云安全中心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主机/容器/镜像扫描、合规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</w:tr>
    </w:tbl>
    <w:bookmarkEnd w:id="21"/>
    <w:bookmarkStart w:id="22" w:name="能力对比"/>
    <w:p>
      <w:pPr>
        <w:pStyle w:val="Heading2"/>
      </w:pPr>
      <w:r>
        <w:t xml:space="preserve">3. 能力对比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3"/>
        <w:gridCol w:w="625"/>
        <w:gridCol w:w="833"/>
        <w:gridCol w:w="2917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Checkmarx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Semgrep（Python/Node/Java 等），支持自定义规则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多语言，IDE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商业引擎，深度规则库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主要关注容器，SAST 较弱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Dependency-Check、pip-audit、npm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支持多语言依赖，实时数据库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强调开源依赖风险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容器扫描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Trivy、Hadolint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支持镜像、registry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需额外组件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强项，含 runtime 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RASP/运行时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OpenRASP 集成，攻防闭环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IAST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runtime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API、GitHub Actions 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多种 CI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官方集成丰富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主要面向企业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报告与指标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导出、仪表盘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丰富仪表盘、治理建议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企业治理视角</w:t>
            </w:r>
          </w:p>
        </w:tc>
      </w:tr>
    </w:tbl>
    <w:bookmarkEnd w:id="22"/>
    <w:bookmarkStart w:id="25" w:name="优势与不足"/>
    <w:p>
      <w:pPr>
        <w:pStyle w:val="Heading2"/>
      </w:pPr>
      <w:r>
        <w:t xml:space="preserve">4. 优势与不足</w:t>
      </w:r>
    </w:p>
    <w:bookmarkStart w:id="23" w:name="uss-优势"/>
    <w:p>
      <w:pPr>
        <w:pStyle w:val="Heading3"/>
      </w:pPr>
      <w:r>
        <w:t xml:space="preserve">4.1 USS 优势</w:t>
      </w:r>
    </w:p>
    <w:p>
      <w:pPr>
        <w:pStyle w:val="Compact"/>
        <w:numPr>
          <w:ilvl w:val="0"/>
          <w:numId w:val="1002"/>
        </w:numPr>
      </w:pPr>
      <w:r>
        <w:t xml:space="preserve">高度本地化：灵活部署，适合安全隔离环境。</w:t>
      </w:r>
    </w:p>
    <w:p>
      <w:pPr>
        <w:pStyle w:val="Compact"/>
        <w:numPr>
          <w:ilvl w:val="0"/>
          <w:numId w:val="1002"/>
        </w:numPr>
      </w:pPr>
      <w:r>
        <w:t xml:space="preserve">成本可控：基于开源工具，自研平台层。</w:t>
      </w:r>
    </w:p>
    <w:p>
      <w:pPr>
        <w:pStyle w:val="Compact"/>
        <w:numPr>
          <w:ilvl w:val="0"/>
          <w:numId w:val="1002"/>
        </w:numPr>
      </w:pPr>
      <w:r>
        <w:t xml:space="preserve">RASP 联动：运行时检测与扫描结果同平台呈现。</w:t>
      </w:r>
    </w:p>
    <w:p>
      <w:pPr>
        <w:pStyle w:val="Compact"/>
        <w:numPr>
          <w:ilvl w:val="0"/>
          <w:numId w:val="1002"/>
        </w:numPr>
      </w:pPr>
      <w:r>
        <w:t xml:space="preserve">排障手册完整：涵盖 Dependency-Check、OpenRASP、MySQL 等案例。</w:t>
      </w:r>
    </w:p>
    <w:bookmarkEnd w:id="23"/>
    <w:bookmarkStart w:id="24" w:name="uss-不足"/>
    <w:p>
      <w:pPr>
        <w:pStyle w:val="Heading3"/>
      </w:pPr>
      <w:r>
        <w:t xml:space="preserve">4.2 USS 不足</w:t>
      </w:r>
    </w:p>
    <w:p>
      <w:pPr>
        <w:pStyle w:val="Compact"/>
        <w:numPr>
          <w:ilvl w:val="0"/>
          <w:numId w:val="1003"/>
        </w:numPr>
      </w:pPr>
      <w:r>
        <w:t xml:space="preserve">规则库与漏洞数据库更新需要人工维护。</w:t>
      </w:r>
    </w:p>
    <w:p>
      <w:pPr>
        <w:pStyle w:val="Compact"/>
        <w:numPr>
          <w:ilvl w:val="0"/>
          <w:numId w:val="1003"/>
        </w:numPr>
      </w:pPr>
      <w:r>
        <w:t xml:space="preserve">报告形式较原始，缺少 PDF/HTML、邮件通知。</w:t>
      </w:r>
    </w:p>
    <w:p>
      <w:pPr>
        <w:pStyle w:val="Compact"/>
        <w:numPr>
          <w:ilvl w:val="0"/>
          <w:numId w:val="1003"/>
        </w:numPr>
      </w:pPr>
      <w:r>
        <w:t xml:space="preserve">缺少商业级别支持，如 SLA、合规认证。</w:t>
      </w:r>
    </w:p>
    <w:bookmarkEnd w:id="24"/>
    <w:bookmarkEnd w:id="25"/>
    <w:bookmarkStart w:id="26" w:name="机会与策略"/>
    <w:p>
      <w:pPr>
        <w:pStyle w:val="Heading2"/>
      </w:pPr>
      <w:r>
        <w:t xml:space="preserve">5. 机会与策略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差异化</w:t>
      </w:r>
      <w:r>
        <w:t xml:space="preserve">：强化运行时与扫描结果关联，形成进攻链（Kill Chain）视图。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生态开放</w:t>
      </w:r>
      <w:r>
        <w:t xml:space="preserve">：提供插件化接口，允许接入自研扫描或第三方 API。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商业化潜力</w:t>
      </w:r>
      <w:r>
        <w:t xml:space="preserve">：面向中小企业提供离线安全扫描包，按项目计费。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自动修复</w:t>
      </w:r>
      <w:r>
        <w:t xml:space="preserve">：引入 AI/规则推荐，简化修复闭环。</w:t>
      </w:r>
    </w:p>
    <w:bookmarkEnd w:id="26"/>
    <w:bookmarkStart w:id="27" w:name="结论"/>
    <w:p>
      <w:pPr>
        <w:pStyle w:val="Heading2"/>
      </w:pPr>
      <w:r>
        <w:t xml:space="preserve">6. 结论</w:t>
      </w:r>
    </w:p>
    <w:p>
      <w:pPr>
        <w:pStyle w:val="Compact"/>
        <w:numPr>
          <w:ilvl w:val="0"/>
          <w:numId w:val="1005"/>
        </w:numPr>
      </w:pPr>
      <w:r>
        <w:t xml:space="preserve">USS 在本地部署、运行时联动方面具备独特优势，适合内部安全平台建设。</w:t>
      </w:r>
    </w:p>
    <w:p>
      <w:pPr>
        <w:pStyle w:val="Compact"/>
        <w:numPr>
          <w:ilvl w:val="0"/>
          <w:numId w:val="1005"/>
        </w:numPr>
      </w:pPr>
      <w:r>
        <w:t xml:space="preserve">对比国际竞品，可持续迭代报告、治理能力与自动化通知。</w:t>
      </w:r>
    </w:p>
    <w:p>
      <w:pPr>
        <w:pStyle w:val="Compact"/>
        <w:numPr>
          <w:ilvl w:val="0"/>
          <w:numId w:val="1005"/>
        </w:numPr>
      </w:pPr>
      <w:r>
        <w:t xml:space="preserve">建议后续结合组织需求，围绕“本地化 + 运行时闭环 + DevSecOps 集成”方向深耕。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2025-11-07T09:19:07Z</dcterms:created>
  <dcterms:modified xsi:type="dcterms:W3CDTF">2025-11-07T09:19:07Z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