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C3" w:rsidRDefault="00F218C3" w:rsidP="00723369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 w:hint="eastAsia"/>
          <w:b/>
          <w:color w:val="000000"/>
          <w:kern w:val="2"/>
          <w:sz w:val="24"/>
          <w:szCs w:val="24"/>
        </w:rPr>
      </w:pPr>
      <w:r w:rsidRPr="00723369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Daniel Dusek</w:t>
      </w:r>
    </w:p>
    <w:p w:rsidR="00723369" w:rsidRPr="001A6652" w:rsidRDefault="00723369" w:rsidP="00723369">
      <w:pPr>
        <w:pStyle w:val="ListParagraph"/>
        <w:numPr>
          <w:ilvl w:val="0"/>
          <w:numId w:val="1"/>
        </w:numPr>
        <w:spacing w:after="200" w:line="276" w:lineRule="auto"/>
      </w:pPr>
      <w:r w:rsidRPr="001A6652">
        <w:t>Partner of Skadden, Arps, Slate, Meagher &amp; Flom LLP &amp; Affiliates</w:t>
      </w:r>
    </w:p>
    <w:p w:rsidR="00723369" w:rsidRPr="00723369" w:rsidRDefault="00723369" w:rsidP="00723369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 w:hint="eastAsia"/>
          <w:color w:val="000000"/>
          <w:kern w:val="2"/>
          <w:sz w:val="24"/>
          <w:szCs w:val="24"/>
        </w:rPr>
      </w:pPr>
    </w:p>
    <w:p w:rsidR="00F218C3" w:rsidRDefault="00F218C3" w:rsidP="00723369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</w:pPr>
      <w:r w:rsidRPr="00723369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Daniel Dusek is a corporate partner concentrating in mergers and acquisitions, securities law and corporate matters. Mr. Dusek has represented public and private clients in a variety of corporate transactions, including acquisitions, dispositions, mergers, auctions, private equity and leveraged buyouts, going-private transactions, spin-offs, joint ventures and other corporate matters.</w:t>
      </w:r>
    </w:p>
    <w:p w:rsidR="00723369" w:rsidRPr="00723369" w:rsidRDefault="00723369" w:rsidP="00723369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</w:pPr>
    </w:p>
    <w:p w:rsidR="00423C3B" w:rsidRPr="00723369" w:rsidRDefault="00F218C3" w:rsidP="00723369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723369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Among the private equity sponsors that Mr. Dusek has advised are The Carlyle Group, Sequoia Capital, Actis Capital, The Capital Group Companies, Wasserstein &amp; Co., First Reserve Corporation, Windward Capital Partners, Castle Harlan, Greenfield Partners and Quadrangle Group LLC.</w:t>
      </w:r>
    </w:p>
    <w:sectPr w:rsidR="00423C3B" w:rsidRPr="00723369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463"/>
    <w:multiLevelType w:val="hybridMultilevel"/>
    <w:tmpl w:val="1F1A9DCA"/>
    <w:lvl w:ilvl="0" w:tplc="95F20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F218C3"/>
    <w:rsid w:val="00423C3B"/>
    <w:rsid w:val="00723369"/>
    <w:rsid w:val="007902C3"/>
    <w:rsid w:val="00F218C3"/>
    <w:rsid w:val="00FB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paragraph" w:styleId="Heading1">
    <w:name w:val="heading 1"/>
    <w:basedOn w:val="Normal"/>
    <w:link w:val="Heading1Char"/>
    <w:uiPriority w:val="9"/>
    <w:qFormat/>
    <w:rsid w:val="00F21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2</cp:revision>
  <dcterms:created xsi:type="dcterms:W3CDTF">2014-09-11T19:41:00Z</dcterms:created>
  <dcterms:modified xsi:type="dcterms:W3CDTF">2014-09-11T20:04:00Z</dcterms:modified>
</cp:coreProperties>
</file>