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供应链管理基础理论手册</w:t>
      </w:r>
    </w:p>
    <w:p>
      <w:pPr>
        <w:jc w:val="center"/>
      </w:pPr>
      <w:r>
        <w:rPr>
          <w:i/>
          <w:sz w:val="20"/>
        </w:rPr>
        <w:t>版本：V3.2  |  编制：供应链研究院  |  生效日期：2024-06-01</w:t>
      </w:r>
    </w:p>
    <w:p/>
    <w:p>
      <w:pPr>
        <w:pStyle w:val="Heading1"/>
      </w:pPr>
      <w:r>
        <w:rPr>
          <w:rFonts w:ascii="黑体" w:hAnsi="黑体" w:eastAsia="黑体"/>
        </w:rPr>
        <w:t>第一章 供应链管理概述</w:t>
      </w:r>
    </w:p>
    <w:p>
      <w:r>
        <w:rPr>
          <w:rFonts w:ascii="宋体" w:hAnsi="宋体" w:eastAsia="宋体"/>
          <w:sz w:val="22"/>
        </w:rPr>
        <w:t>1.1 定义与内涵</w:t>
      </w:r>
    </w:p>
    <w:p>
      <w:r>
        <w:rPr>
          <w:rFonts w:ascii="宋体" w:hAnsi="宋体" w:eastAsia="宋体"/>
          <w:sz w:val="22"/>
        </w:rPr>
        <w:t>供应链管理（Supply Chain Management, SCM）是以客户需求为导向，以核心企业为枢纽，通过对信息流、物流、资金流的系统化控制，将供应商、制造商、分销商、零售商直到最终用户连成一个整体的功能网链结构管理模式。它强调跨组织协同、端到端可视化和整体最优，避免局部最优导致的"牛鞭效应"。</w:t>
      </w:r>
    </w:p>
    <w:p>
      <w:r>
        <w:rPr>
          <w:rFonts w:ascii="宋体" w:hAnsi="宋体" w:eastAsia="宋体"/>
          <w:sz w:val="22"/>
        </w:rPr>
        <w:t>现代供应链管理已从传统的"采购—生产—销售"线性思维，演进为以价值网络为核心、以数字化为底座、以韧性为目标的复杂自适应系统。</w:t>
      </w:r>
    </w:p>
    <w:p>
      <w:r>
        <w:rPr>
          <w:rFonts w:ascii="宋体" w:hAnsi="宋体" w:eastAsia="宋体"/>
          <w:sz w:val="22"/>
        </w:rPr>
        <w:t>1.2 发展历程</w:t>
      </w:r>
    </w:p>
    <w:p>
      <w:r>
        <w:rPr>
          <w:rFonts w:ascii="宋体" w:hAnsi="宋体" w:eastAsia="宋体"/>
          <w:sz w:val="22"/>
        </w:rPr>
        <w:t>第一阶段（1980s）：MRP/MRPII 主导，强调企业内部生产计划与物料需求。</w:t>
        <w:br/>
        <w:t>第二阶段（1990s）：ERP 兴起，整合财务、采购、库存、销售等职能。</w:t>
        <w:br/>
        <w:t>第三阶段（2000s）：SCM 概念成熟，JIT、VMI、CPFR 等协同模式广泛应用。</w:t>
        <w:br/>
        <w:t>第四阶段（2010s）：数字化供应链，物联网、大数据、云计算赋能。</w:t>
        <w:br/>
        <w:t>第五阶段（2020s 至今）：韧性+绿色+智能 三位一体的"新供应链"，强调可持续性、地缘风险应对和 AI 决策。</w:t>
      </w:r>
    </w:p>
    <w:p>
      <w:r>
        <w:rPr>
          <w:rFonts w:ascii="宋体" w:hAnsi="宋体" w:eastAsia="宋体"/>
          <w:sz w:val="22"/>
        </w:rPr>
        <w:t>1.3 核心目标</w:t>
      </w:r>
    </w:p>
    <w:p>
      <w:r>
        <w:rPr>
          <w:rFonts w:ascii="宋体" w:hAnsi="宋体" w:eastAsia="宋体"/>
          <w:sz w:val="22"/>
        </w:rPr>
        <w:t>• T（Time）：缩短交付周期，提升响应速度。</w:t>
      </w:r>
    </w:p>
    <w:p>
      <w:r>
        <w:rPr>
          <w:rFonts w:ascii="宋体" w:hAnsi="宋体" w:eastAsia="宋体"/>
          <w:sz w:val="22"/>
        </w:rPr>
        <w:t>• Q（Quality）：保证产品质量与交付质量，降低不良率。</w:t>
      </w:r>
    </w:p>
    <w:p>
      <w:r>
        <w:rPr>
          <w:rFonts w:ascii="宋体" w:hAnsi="宋体" w:eastAsia="宋体"/>
          <w:sz w:val="22"/>
        </w:rPr>
        <w:t>• C（Cost）：降低采购、生产、库存、物流全链路总成本。</w:t>
      </w:r>
    </w:p>
    <w:p>
      <w:r>
        <w:rPr>
          <w:rFonts w:ascii="宋体" w:hAnsi="宋体" w:eastAsia="宋体"/>
          <w:sz w:val="22"/>
        </w:rPr>
        <w:t>• S（Service）：提升客户服务水平与满意度。</w:t>
      </w:r>
    </w:p>
    <w:p>
      <w:r>
        <w:rPr>
          <w:rFonts w:ascii="宋体" w:hAnsi="宋体" w:eastAsia="宋体"/>
          <w:sz w:val="22"/>
        </w:rPr>
        <w:t>• A（Agility）：增强供应链柔性，快速应对需求波动。</w:t>
      </w:r>
    </w:p>
    <w:p>
      <w:pPr>
        <w:pStyle w:val="Heading1"/>
      </w:pPr>
      <w:r>
        <w:rPr>
          <w:rFonts w:ascii="黑体" w:hAnsi="黑体" w:eastAsia="黑体"/>
        </w:rPr>
        <w:t>第二章 供应链结构与模式</w:t>
      </w:r>
    </w:p>
    <w:p>
      <w:r>
        <w:rPr>
          <w:rFonts w:ascii="宋体" w:hAnsi="宋体" w:eastAsia="宋体"/>
          <w:sz w:val="22"/>
        </w:rPr>
        <w:t>2.1 供应链基本结构</w:t>
      </w:r>
    </w:p>
    <w:p>
      <w:r>
        <w:rPr>
          <w:rFonts w:ascii="宋体" w:hAnsi="宋体" w:eastAsia="宋体"/>
          <w:sz w:val="22"/>
        </w:rPr>
        <w:t>一条完整的供应链通常包含以下节点：原材料供应商 → 零部件制造商 → 成品组装商 → 一级分销商 → 二级分销商 → 零售商 → 终端消费者。每个节点既是客户也是供应商，形成双向价值流动。</w:t>
      </w:r>
    </w:p>
    <w:p>
      <w:r>
        <w:rPr>
          <w:rFonts w:ascii="宋体" w:hAnsi="宋体" w:eastAsia="宋体"/>
          <w:sz w:val="22"/>
        </w:rPr>
        <w:t>2.2 主要运作模式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核心特征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典型行业</w:t>
            </w:r>
          </w:p>
        </w:tc>
      </w:tr>
      <w:tr>
        <w:tc>
          <w:tcPr>
            <w:tcW w:type="dxa" w:w="2160"/>
          </w:tcPr>
          <w:p>
            <w:r>
              <w:t>推动式（Push）</w:t>
            </w:r>
          </w:p>
        </w:tc>
        <w:tc>
          <w:tcPr>
            <w:tcW w:type="dxa" w:w="2160"/>
          </w:tcPr>
          <w:p>
            <w:r>
              <w:t>基于历史预测，库存前置</w:t>
            </w:r>
          </w:p>
        </w:tc>
        <w:tc>
          <w:tcPr>
            <w:tcW w:type="dxa" w:w="2160"/>
          </w:tcPr>
          <w:p>
            <w:r>
              <w:t>需求稳定、产品标准化</w:t>
            </w:r>
          </w:p>
        </w:tc>
        <w:tc>
          <w:tcPr>
            <w:tcW w:type="dxa" w:w="2160"/>
          </w:tcPr>
          <w:p>
            <w:r>
              <w:t>快消、基础化工</w:t>
            </w:r>
          </w:p>
        </w:tc>
      </w:tr>
      <w:tr>
        <w:tc>
          <w:tcPr>
            <w:tcW w:type="dxa" w:w="2160"/>
          </w:tcPr>
          <w:p>
            <w:r>
              <w:t>拉动式（Pull）</w:t>
            </w:r>
          </w:p>
        </w:tc>
        <w:tc>
          <w:tcPr>
            <w:tcW w:type="dxa" w:w="2160"/>
          </w:tcPr>
          <w:p>
            <w:r>
              <w:t>以订单驱动，JIT 配送</w:t>
            </w:r>
          </w:p>
        </w:tc>
        <w:tc>
          <w:tcPr>
            <w:tcW w:type="dxa" w:w="2160"/>
          </w:tcPr>
          <w:p>
            <w:r>
              <w:t>需求波动大、高价值</w:t>
            </w:r>
          </w:p>
        </w:tc>
        <w:tc>
          <w:tcPr>
            <w:tcW w:type="dxa" w:w="2160"/>
          </w:tcPr>
          <w:p>
            <w:r>
              <w:t>汽车、高端制造</w:t>
            </w:r>
          </w:p>
        </w:tc>
      </w:tr>
      <w:tr>
        <w:tc>
          <w:tcPr>
            <w:tcW w:type="dxa" w:w="2160"/>
          </w:tcPr>
          <w:p>
            <w:r>
              <w:t>推拉结合</w:t>
            </w:r>
          </w:p>
        </w:tc>
        <w:tc>
          <w:tcPr>
            <w:tcW w:type="dxa" w:w="2160"/>
          </w:tcPr>
          <w:p>
            <w:r>
              <w:t>关键节点采用拉动，其余推动</w:t>
            </w:r>
          </w:p>
        </w:tc>
        <w:tc>
          <w:tcPr>
            <w:tcW w:type="dxa" w:w="2160"/>
          </w:tcPr>
          <w:p>
            <w:r>
              <w:t>产品差异化程度高</w:t>
            </w:r>
          </w:p>
        </w:tc>
        <w:tc>
          <w:tcPr>
            <w:tcW w:type="dxa" w:w="2160"/>
          </w:tcPr>
          <w:p>
            <w:r>
              <w:t>电子、服装</w:t>
            </w:r>
          </w:p>
        </w:tc>
      </w:tr>
      <w:tr>
        <w:tc>
          <w:tcPr>
            <w:tcW w:type="dxa" w:w="2160"/>
          </w:tcPr>
          <w:p>
            <w:r>
              <w:t>敏捷供应链</w:t>
            </w:r>
          </w:p>
        </w:tc>
        <w:tc>
          <w:tcPr>
            <w:tcW w:type="dxa" w:w="2160"/>
          </w:tcPr>
          <w:p>
            <w:r>
              <w:t>快速响应 + 高度柔性</w:t>
            </w:r>
          </w:p>
        </w:tc>
        <w:tc>
          <w:tcPr>
            <w:tcW w:type="dxa" w:w="2160"/>
          </w:tcPr>
          <w:p>
            <w:r>
              <w:t>时尚、季节性商品</w:t>
            </w:r>
          </w:p>
        </w:tc>
        <w:tc>
          <w:tcPr>
            <w:tcW w:type="dxa" w:w="2160"/>
          </w:tcPr>
          <w:p>
            <w:r>
              <w:t>服装、玩具</w:t>
            </w:r>
          </w:p>
        </w:tc>
      </w:tr>
      <w:tr>
        <w:tc>
          <w:tcPr>
            <w:tcW w:type="dxa" w:w="2160"/>
          </w:tcPr>
          <w:p>
            <w:r>
              <w:t>精益供应链</w:t>
            </w:r>
          </w:p>
        </w:tc>
        <w:tc>
          <w:tcPr>
            <w:tcW w:type="dxa" w:w="2160"/>
          </w:tcPr>
          <w:p>
            <w:r>
              <w:t>消除浪费、TOC 约束理论</w:t>
            </w:r>
          </w:p>
        </w:tc>
        <w:tc>
          <w:tcPr>
            <w:tcW w:type="dxa" w:w="2160"/>
          </w:tcPr>
          <w:p>
            <w:r>
              <w:t>标准化大批量</w:t>
            </w:r>
          </w:p>
        </w:tc>
        <w:tc>
          <w:tcPr>
            <w:tcW w:type="dxa" w:w="2160"/>
          </w:tcPr>
          <w:p>
            <w:r>
              <w:t>家电、食品</w:t>
            </w:r>
          </w:p>
        </w:tc>
      </w:tr>
    </w:tbl>
    <w:p>
      <w:r>
        <w:rPr>
          <w:rFonts w:ascii="宋体" w:hAnsi="宋体" w:eastAsia="宋体"/>
          <w:sz w:val="22"/>
        </w:rPr>
        <w:t>2.3 供应链网络设计</w:t>
      </w:r>
    </w:p>
    <w:p>
      <w:r>
        <w:rPr>
          <w:rFonts w:ascii="宋体" w:hAnsi="宋体" w:eastAsia="宋体"/>
          <w:sz w:val="22"/>
        </w:rPr>
        <w:t>网络设计需综合考虑需求分布、生产成本、运输成本、关税、关税壁垒、地缘政治风险、ESG 合规等因素。常用方法包括：重心法（CFLP）、MILP 数学规划、仿真模拟、启发式算法（GA、SA、TS）等。</w:t>
      </w:r>
    </w:p>
    <w:p>
      <w:pPr>
        <w:pStyle w:val="Heading1"/>
      </w:pPr>
      <w:r>
        <w:rPr>
          <w:rFonts w:ascii="黑体" w:hAnsi="黑体" w:eastAsia="黑体"/>
        </w:rPr>
        <w:t>第三章 供应链战略</w:t>
      </w:r>
    </w:p>
    <w:p>
      <w:r>
        <w:rPr>
          <w:rFonts w:ascii="宋体" w:hAnsi="宋体" w:eastAsia="宋体"/>
          <w:sz w:val="22"/>
        </w:rPr>
        <w:t>3.1 战略框架（SCOR 模型）</w:t>
      </w:r>
    </w:p>
    <w:p>
      <w:r>
        <w:rPr>
          <w:rFonts w:ascii="宋体" w:hAnsi="宋体" w:eastAsia="宋体"/>
          <w:sz w:val="22"/>
        </w:rPr>
        <w:t>SCOR（Supply Chain Operations Reference）模型由 APICS 协会提出，是业界最广泛采用的供应链流程标准框架，覆盖五大流程：Plan（计划）、Source（采购）、Make（生产）、Deliver（交付）、Return（逆向），以及 Enable（使能）层。</w:t>
      </w:r>
    </w:p>
    <w:p>
      <w:r>
        <w:rPr>
          <w:rFonts w:ascii="宋体" w:hAnsi="宋体" w:eastAsia="宋体"/>
          <w:sz w:val="22"/>
        </w:rPr>
        <w:t>3.2 战略选择矩阵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战略类型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关键能力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评价指标</w:t>
            </w:r>
          </w:p>
        </w:tc>
      </w:tr>
      <w:tr>
        <w:tc>
          <w:tcPr>
            <w:tcW w:type="dxa" w:w="2160"/>
          </w:tcPr>
          <w:p>
            <w:r>
              <w:t>成本领先</w:t>
            </w:r>
          </w:p>
        </w:tc>
        <w:tc>
          <w:tcPr>
            <w:tcW w:type="dxa" w:w="2160"/>
          </w:tcPr>
          <w:p>
            <w:r>
              <w:t>总成本最低</w:t>
            </w:r>
          </w:p>
        </w:tc>
        <w:tc>
          <w:tcPr>
            <w:tcW w:type="dxa" w:w="2160"/>
          </w:tcPr>
          <w:p>
            <w:r>
              <w:t>规模采购、流程优化</w:t>
            </w:r>
          </w:p>
        </w:tc>
        <w:tc>
          <w:tcPr>
            <w:tcW w:type="dxa" w:w="2160"/>
          </w:tcPr>
          <w:p>
            <w:r>
              <w:t>采购单价、库存周转</w:t>
            </w:r>
          </w:p>
        </w:tc>
      </w:tr>
      <w:tr>
        <w:tc>
          <w:tcPr>
            <w:tcW w:type="dxa" w:w="2160"/>
          </w:tcPr>
          <w:p>
            <w:r>
              <w:t>差异化</w:t>
            </w:r>
          </w:p>
        </w:tc>
        <w:tc>
          <w:tcPr>
            <w:tcW w:type="dxa" w:w="2160"/>
          </w:tcPr>
          <w:p>
            <w:r>
              <w:t>快速交付/定制</w:t>
            </w:r>
          </w:p>
        </w:tc>
        <w:tc>
          <w:tcPr>
            <w:tcW w:type="dxa" w:w="2160"/>
          </w:tcPr>
          <w:p>
            <w:r>
              <w:t>敏捷制造、数字协同</w:t>
            </w:r>
          </w:p>
        </w:tc>
        <w:tc>
          <w:tcPr>
            <w:tcW w:type="dxa" w:w="2160"/>
          </w:tcPr>
          <w:p>
            <w:r>
              <w:t>OTD、定制比例</w:t>
            </w:r>
          </w:p>
        </w:tc>
      </w:tr>
      <w:tr>
        <w:tc>
          <w:tcPr>
            <w:tcW w:type="dxa" w:w="2160"/>
          </w:tcPr>
          <w:p>
            <w:r>
              <w:t>聚焦</w:t>
            </w:r>
          </w:p>
        </w:tc>
        <w:tc>
          <w:tcPr>
            <w:tcW w:type="dxa" w:w="2160"/>
          </w:tcPr>
          <w:p>
            <w:r>
              <w:t>细分市场专精</w:t>
            </w:r>
          </w:p>
        </w:tc>
        <w:tc>
          <w:tcPr>
            <w:tcW w:type="dxa" w:w="2160"/>
          </w:tcPr>
          <w:p>
            <w:r>
              <w:t>深度合作、专有技术</w:t>
            </w:r>
          </w:p>
        </w:tc>
        <w:tc>
          <w:tcPr>
            <w:tcW w:type="dxa" w:w="2160"/>
          </w:tcPr>
          <w:p>
            <w:r>
              <w:t>客户NPS、毛利率</w:t>
            </w:r>
          </w:p>
        </w:tc>
      </w:tr>
    </w:tbl>
    <w:p>
      <w:r>
        <w:rPr>
          <w:rFonts w:ascii="宋体" w:hAnsi="宋体" w:eastAsia="宋体"/>
          <w:sz w:val="22"/>
        </w:rPr>
        <w:t>3.3 与公司战略对齐</w:t>
      </w:r>
    </w:p>
    <w:p>
      <w:r>
        <w:rPr>
          <w:rFonts w:ascii="宋体" w:hAnsi="宋体" w:eastAsia="宋体"/>
          <w:sz w:val="22"/>
        </w:rPr>
        <w:t>供应链战略必须与公司层战略保持一致：在成本领先战略下，供应链侧重规模化和流程效率；在差异化战略下，供应链侧重响应速度和柔性；在多战略组合下，需通过"双元供应链"（Ambidextrous SC）平衡效率与敏捷。</w:t>
      </w:r>
    </w:p>
    <w:p>
      <w:pPr>
        <w:pStyle w:val="Heading1"/>
      </w:pPr>
      <w:r>
        <w:rPr>
          <w:rFonts w:ascii="黑体" w:hAnsi="黑体" w:eastAsia="黑体"/>
        </w:rPr>
        <w:t>第四章 供应链设计原则</w:t>
      </w:r>
    </w:p>
    <w:p>
      <w:r>
        <w:rPr>
          <w:rFonts w:ascii="宋体" w:hAnsi="宋体" w:eastAsia="宋体"/>
          <w:sz w:val="22"/>
        </w:rPr>
        <w:t>4.1 七大基本原则</w:t>
      </w:r>
    </w:p>
    <w:p>
      <w:r>
        <w:rPr>
          <w:rFonts w:ascii="宋体" w:hAnsi="宋体" w:eastAsia="宋体"/>
          <w:sz w:val="22"/>
        </w:rPr>
        <w:t>• 以客户为中心：所有流程设计起点均为客户价值。</w:t>
      </w:r>
    </w:p>
    <w:p>
      <w:r>
        <w:rPr>
          <w:rFonts w:ascii="宋体" w:hAnsi="宋体" w:eastAsia="宋体"/>
          <w:sz w:val="22"/>
        </w:rPr>
        <w:t>• 端到端思维：突破组织壁垒，关注全链路总成本。</w:t>
      </w:r>
    </w:p>
    <w:p>
      <w:r>
        <w:rPr>
          <w:rFonts w:ascii="宋体" w:hAnsi="宋体" w:eastAsia="宋体"/>
          <w:sz w:val="22"/>
        </w:rPr>
        <w:t>• 协同规划：与关键供应商/客户进行 CPFR 联合预测。</w:t>
      </w:r>
    </w:p>
    <w:p>
      <w:r>
        <w:rPr>
          <w:rFonts w:ascii="宋体" w:hAnsi="宋体" w:eastAsia="宋体"/>
          <w:sz w:val="22"/>
        </w:rPr>
        <w:t>• 可视化优先：通过数字孪生、控制塔实现全链路可视。</w:t>
      </w:r>
    </w:p>
    <w:p>
      <w:r>
        <w:rPr>
          <w:rFonts w:ascii="宋体" w:hAnsi="宋体" w:eastAsia="宋体"/>
          <w:sz w:val="22"/>
        </w:rPr>
        <w:t>• 风险韧性：构建多源采购 + 安全库存 + 应急产能的弹性体系。</w:t>
      </w:r>
    </w:p>
    <w:p>
      <w:r>
        <w:rPr>
          <w:rFonts w:ascii="宋体" w:hAnsi="宋体" w:eastAsia="宋体"/>
          <w:sz w:val="22"/>
        </w:rPr>
        <w:t>• 可持续性：碳排放、循环包装、社会责任纳入决策。</w:t>
      </w:r>
    </w:p>
    <w:p>
      <w:r>
        <w:rPr>
          <w:rFonts w:ascii="宋体" w:hAnsi="宋体" w:eastAsia="宋体"/>
          <w:sz w:val="22"/>
        </w:rPr>
        <w:t>• 持续改进：PDCA + Kaizen 文化贯穿日常。</w:t>
      </w:r>
    </w:p>
    <w:p>
      <w:r>
        <w:rPr>
          <w:rFonts w:ascii="宋体" w:hAnsi="宋体" w:eastAsia="宋体"/>
          <w:sz w:val="22"/>
        </w:rPr>
        <w:t>4.2 关键决策要素</w:t>
      </w:r>
    </w:p>
    <w:p>
      <w:r>
        <w:rPr>
          <w:rFonts w:ascii="宋体" w:hAnsi="宋体" w:eastAsia="宋体"/>
          <w:sz w:val="22"/>
        </w:rPr>
        <w:t>在新建/调整供应链时，必须回答四大核心问题：(1) 自制还是外购（Make or Buy）；(2) 单一来源还是多源（Single or Multiple Sourcing）；(3) 集中还是分散库存；(4) 推式还是拉式。</w:t>
      </w:r>
    </w:p>
    <w:p>
      <w:pPr>
        <w:pStyle w:val="Heading1"/>
      </w:pPr>
      <w:r>
        <w:rPr>
          <w:rFonts w:ascii="黑体" w:hAnsi="黑体" w:eastAsia="黑体"/>
        </w:rPr>
        <w:t>第五章 供应链绩效评估</w:t>
      </w:r>
    </w:p>
    <w:p>
      <w:r>
        <w:rPr>
          <w:rFonts w:ascii="宋体" w:hAnsi="宋体" w:eastAsia="宋体"/>
          <w:sz w:val="22"/>
        </w:rPr>
        <w:t>5.1 评估指标体系（KPI）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计算公式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2160"/>
          </w:tcPr>
          <w:p>
            <w:r>
              <w:t>交付</w:t>
            </w:r>
          </w:p>
        </w:tc>
        <w:tc>
          <w:tcPr>
            <w:tcW w:type="dxa" w:w="2160"/>
          </w:tcPr>
          <w:p>
            <w:r>
              <w:t>OTD（按时交付率）</w:t>
            </w:r>
          </w:p>
        </w:tc>
        <w:tc>
          <w:tcPr>
            <w:tcW w:type="dxa" w:w="2160"/>
          </w:tcPr>
          <w:p>
            <w:r>
              <w:t>按时交付订单数/总订单数</w:t>
            </w:r>
          </w:p>
        </w:tc>
        <w:tc>
          <w:tcPr>
            <w:tcW w:type="dxa" w:w="2160"/>
          </w:tcPr>
          <w:p>
            <w:r>
              <w:t>≥ 98%</w:t>
            </w:r>
          </w:p>
        </w:tc>
      </w:tr>
      <w:tr>
        <w:tc>
          <w:tcPr>
            <w:tcW w:type="dxa" w:w="2160"/>
          </w:tcPr>
          <w:p>
            <w:r>
              <w:t>交付</w:t>
            </w:r>
          </w:p>
        </w:tc>
        <w:tc>
          <w:tcPr>
            <w:tcW w:type="dxa" w:w="2160"/>
          </w:tcPr>
          <w:p>
            <w:r>
              <w:t>OTIF（按时按量）</w:t>
            </w:r>
          </w:p>
        </w:tc>
        <w:tc>
          <w:tcPr>
            <w:tcW w:type="dxa" w:w="2160"/>
          </w:tcPr>
          <w:p>
            <w:r>
              <w:t>OTIF 订单数/总订单数</w:t>
            </w:r>
          </w:p>
        </w:tc>
        <w:tc>
          <w:tcPr>
            <w:tcW w:type="dxa" w:w="2160"/>
          </w:tcPr>
          <w:p>
            <w:r>
              <w:t>≥ 95%</w:t>
            </w:r>
          </w:p>
        </w:tc>
      </w:tr>
      <w:tr>
        <w:tc>
          <w:tcPr>
            <w:tcW w:type="dxa" w:w="2160"/>
          </w:tcPr>
          <w:p>
            <w:r>
              <w:t>库存</w:t>
            </w:r>
          </w:p>
        </w:tc>
        <w:tc>
          <w:tcPr>
            <w:tcW w:type="dxa" w:w="2160"/>
          </w:tcPr>
          <w:p>
            <w:r>
              <w:t>库存周转率</w:t>
            </w:r>
          </w:p>
        </w:tc>
        <w:tc>
          <w:tcPr>
            <w:tcW w:type="dxa" w:w="2160"/>
          </w:tcPr>
          <w:p>
            <w:r>
              <w:t>销售成本/平均库存</w:t>
            </w:r>
          </w:p>
        </w:tc>
        <w:tc>
          <w:tcPr>
            <w:tcW w:type="dxa" w:w="2160"/>
          </w:tcPr>
          <w:p>
            <w:r>
              <w:t>≥ 8 次/年</w:t>
            </w:r>
          </w:p>
        </w:tc>
      </w:tr>
      <w:tr>
        <w:tc>
          <w:tcPr>
            <w:tcW w:type="dxa" w:w="2160"/>
          </w:tcPr>
          <w:p>
            <w:r>
              <w:t>库存</w:t>
            </w:r>
          </w:p>
        </w:tc>
        <w:tc>
          <w:tcPr>
            <w:tcW w:type="dxa" w:w="2160"/>
          </w:tcPr>
          <w:p>
            <w:r>
              <w:t>DOH（库存持有天数）</w:t>
            </w:r>
          </w:p>
        </w:tc>
        <w:tc>
          <w:tcPr>
            <w:tcW w:type="dxa" w:w="2160"/>
          </w:tcPr>
          <w:p>
            <w:r>
              <w:t>平均库存/日均销量</w:t>
            </w:r>
          </w:p>
        </w:tc>
        <w:tc>
          <w:tcPr>
            <w:tcW w:type="dxa" w:w="2160"/>
          </w:tcPr>
          <w:p>
            <w:r>
              <w:t>30-60 天</w:t>
            </w:r>
          </w:p>
        </w:tc>
      </w:tr>
      <w:tr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采购成本占比</w:t>
            </w:r>
          </w:p>
        </w:tc>
        <w:tc>
          <w:tcPr>
            <w:tcW w:type="dxa" w:w="2160"/>
          </w:tcPr>
          <w:p>
            <w:r>
              <w:t>采购金额/销售收入</w:t>
            </w:r>
          </w:p>
        </w:tc>
        <w:tc>
          <w:tcPr>
            <w:tcW w:type="dxa" w:w="2160"/>
          </w:tcPr>
          <w:p>
            <w:r>
              <w:t>行业基线</w:t>
            </w:r>
          </w:p>
        </w:tc>
      </w:tr>
      <w:tr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物流费率</w:t>
            </w:r>
          </w:p>
        </w:tc>
        <w:tc>
          <w:tcPr>
            <w:tcW w:type="dxa" w:w="2160"/>
          </w:tcPr>
          <w:p>
            <w:r>
              <w:t>物流费用/销售收入</w:t>
            </w:r>
          </w:p>
        </w:tc>
        <w:tc>
          <w:tcPr>
            <w:tcW w:type="dxa" w:w="2160"/>
          </w:tcPr>
          <w:p>
            <w:r>
              <w:t>≤ 5%</w:t>
            </w:r>
          </w:p>
        </w:tc>
      </w:tr>
      <w:tr>
        <w:tc>
          <w:tcPr>
            <w:tcW w:type="dxa" w:w="2160"/>
          </w:tcPr>
          <w:p>
            <w:r>
              <w:t>质量</w:t>
            </w:r>
          </w:p>
        </w:tc>
        <w:tc>
          <w:tcPr>
            <w:tcW w:type="dxa" w:w="2160"/>
          </w:tcPr>
          <w:p>
            <w:r>
              <w:t>来料不良率</w:t>
            </w:r>
          </w:p>
        </w:tc>
        <w:tc>
          <w:tcPr>
            <w:tcW w:type="dxa" w:w="2160"/>
          </w:tcPr>
          <w:p>
            <w:r>
              <w:t>不良批次/总批次</w:t>
            </w:r>
          </w:p>
        </w:tc>
        <w:tc>
          <w:tcPr>
            <w:tcW w:type="dxa" w:w="2160"/>
          </w:tcPr>
          <w:p>
            <w:r>
              <w:t>≤ 0.5%</w:t>
            </w:r>
          </w:p>
        </w:tc>
      </w:tr>
      <w:tr>
        <w:tc>
          <w:tcPr>
            <w:tcW w:type="dxa" w:w="2160"/>
          </w:tcPr>
          <w:p>
            <w:r>
              <w:t>响应</w:t>
            </w:r>
          </w:p>
        </w:tc>
        <w:tc>
          <w:tcPr>
            <w:tcW w:type="dxa" w:w="2160"/>
          </w:tcPr>
          <w:p>
            <w:r>
              <w:t>订单履约周期</w:t>
            </w:r>
          </w:p>
        </w:tc>
        <w:tc>
          <w:tcPr>
            <w:tcW w:type="dxa" w:w="2160"/>
          </w:tcPr>
          <w:p>
            <w:r>
              <w:t>下单到收货天数</w:t>
            </w:r>
          </w:p>
        </w:tc>
        <w:tc>
          <w:tcPr>
            <w:tcW w:type="dxa" w:w="2160"/>
          </w:tcPr>
          <w:p>
            <w:r>
              <w:t>依行业</w:t>
            </w:r>
          </w:p>
        </w:tc>
      </w:tr>
    </w:tbl>
    <w:p>
      <w:r>
        <w:rPr>
          <w:rFonts w:ascii="宋体" w:hAnsi="宋体" w:eastAsia="宋体"/>
          <w:sz w:val="22"/>
        </w:rPr>
        <w:t>5.2 评估方法</w:t>
      </w:r>
    </w:p>
    <w:p>
      <w:r>
        <w:rPr>
          <w:rFonts w:ascii="宋体" w:hAnsi="宋体" w:eastAsia="宋体"/>
          <w:sz w:val="22"/>
        </w:rPr>
        <w:t>建议采用平衡计分卡（BSC）四维度：财务、客户、流程、学习与成长。结合月度高阶评审、季度深度诊断、年度战略对齐，形成 PDCA 闭环。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A 术语表</w:t>
      </w:r>
    </w:p>
    <w:p>
      <w:r>
        <w:rPr>
          <w:rFonts w:ascii="宋体" w:hAnsi="宋体" w:eastAsia="宋体"/>
          <w:sz w:val="22"/>
        </w:rPr>
        <w:t>OTD：On Time Delivery，按时交付率</w:t>
      </w:r>
    </w:p>
    <w:p>
      <w:r>
        <w:rPr>
          <w:rFonts w:ascii="宋体" w:hAnsi="宋体" w:eastAsia="宋体"/>
          <w:sz w:val="22"/>
        </w:rPr>
        <w:t>OTIF：On Time In Full，按时按量交付</w:t>
      </w:r>
    </w:p>
    <w:p>
      <w:r>
        <w:rPr>
          <w:rFonts w:ascii="宋体" w:hAnsi="宋体" w:eastAsia="宋体"/>
          <w:sz w:val="22"/>
        </w:rPr>
        <w:t>VMI：Vendor Managed Inventory，供应商管理库存</w:t>
      </w:r>
    </w:p>
    <w:p>
      <w:r>
        <w:rPr>
          <w:rFonts w:ascii="宋体" w:hAnsi="宋体" w:eastAsia="宋体"/>
          <w:sz w:val="22"/>
        </w:rPr>
        <w:t>JIT：Just In Time，精益准时制</w:t>
      </w:r>
    </w:p>
    <w:p>
      <w:r>
        <w:rPr>
          <w:rFonts w:ascii="宋体" w:hAnsi="宋体" w:eastAsia="宋体"/>
          <w:sz w:val="22"/>
        </w:rPr>
        <w:t>CPFR：Collaborative Planning Forecasting Replenishment，协同规划预测补货</w:t>
      </w:r>
    </w:p>
    <w:p>
      <w:r>
        <w:rPr>
          <w:rFonts w:ascii="宋体" w:hAnsi="宋体" w:eastAsia="宋体"/>
          <w:sz w:val="22"/>
        </w:rPr>
        <w:t>S&amp;OP：Sales &amp; Operations Planning，销售与运营规划</w:t>
      </w:r>
    </w:p>
    <w:p>
      <w:r>
        <w:rPr>
          <w:rFonts w:ascii="宋体" w:hAnsi="宋体" w:eastAsia="宋体"/>
          <w:sz w:val="22"/>
        </w:rPr>
        <w:t>SCOR：Supply Chain Operations Reference，供应链运作参考模型</w:t>
      </w:r>
    </w:p>
    <w:p>
      <w:r>
        <w:rPr>
          <w:rFonts w:ascii="宋体" w:hAnsi="宋体" w:eastAsia="宋体"/>
          <w:sz w:val="22"/>
        </w:rPr>
        <w:t>TCO：Total Cost of Ownership，总拥有成本</w:t>
      </w:r>
    </w:p>
    <w:p>
      <w:r>
        <w:rPr>
          <w:rFonts w:ascii="宋体" w:hAnsi="宋体" w:eastAsia="宋体"/>
          <w:sz w:val="22"/>
        </w:rPr>
        <w:t>DOH：Days On Hand，库存持有天数</w:t>
      </w:r>
    </w:p>
    <w:p>
      <w:r>
        <w:rPr>
          <w:rFonts w:ascii="宋体" w:hAnsi="宋体" w:eastAsia="宋体"/>
          <w:sz w:val="22"/>
        </w:rPr>
        <w:t>CFLP：Capacitated Facility Location Problem，容量限制设施选址问题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AI","ProduceID":"user:516404144421060611/node:439133827592621/ts:1788763894427","ReservedCode1":"","ContentPropagator":"MiniMax AI","PropagateID":"user:516404144421060611/node:439133827592621/ts:1788763894427","ReservedCode2":""}</vt:lpwstr>
  </property>
</Properties>
</file>