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物流配送操作手册</w:t>
      </w:r>
    </w:p>
    <w:p>
      <w:pPr>
        <w:jc w:val="center"/>
      </w:pPr>
      <w:r>
        <w:rPr>
          <w:i/>
          <w:sz w:val="20"/>
        </w:rPr>
        <w:t>物流管理部  |  V1.5  |  2024-09-15 修订</w:t>
      </w:r>
    </w:p>
    <w:p/>
    <w:p>
      <w:pPr>
        <w:pStyle w:val="Heading1"/>
      </w:pPr>
      <w:r>
        <w:rPr>
          <w:rFonts w:ascii="黑体" w:hAnsi="黑体" w:eastAsia="黑体"/>
        </w:rPr>
        <w:t>第一章 物流体系总览</w:t>
      </w:r>
    </w:p>
    <w:p>
      <w:r>
        <w:rPr>
          <w:rFonts w:ascii="宋体" w:hAnsi="宋体" w:eastAsia="宋体"/>
          <w:sz w:val="22"/>
        </w:rPr>
        <w:t>1.1 物流网络架构</w:t>
      </w:r>
    </w:p>
    <w:p>
      <w:r>
        <w:rPr>
          <w:rFonts w:ascii="宋体" w:hAnsi="宋体" w:eastAsia="宋体"/>
          <w:sz w:val="22"/>
        </w:rPr>
        <w:t>集团物流体系采用"中央 RDC + 区域 DC + 前置仓"三级架构：</w:t>
      </w:r>
    </w:p>
    <w:p>
      <w:r>
        <w:rPr>
          <w:rFonts w:ascii="宋体" w:hAnsi="宋体" w:eastAsia="宋体"/>
          <w:sz w:val="22"/>
        </w:rPr>
        <w:t>• 中央 RDC（Regional Distribution Center）：位于上海/广州/成都，服务全国，覆盖 200+ 城市。</w:t>
      </w:r>
    </w:p>
    <w:p>
      <w:r>
        <w:rPr>
          <w:rFonts w:ascii="宋体" w:hAnsi="宋体" w:eastAsia="宋体"/>
          <w:sz w:val="22"/>
        </w:rPr>
        <w:t>• 区域 DC（Distribution Center）：7 个，分布华北、华东、华南、华中、东北、西北、西南。</w:t>
      </w:r>
    </w:p>
    <w:p>
      <w:r>
        <w:rPr>
          <w:rFonts w:ascii="宋体" w:hAnsi="宋体" w:eastAsia="宋体"/>
          <w:sz w:val="22"/>
        </w:rPr>
        <w:t>• 前置仓（Forward Stocking Location）：城市级共 30 个，覆盖一二线核心城市。</w:t>
      </w:r>
    </w:p>
    <w:p>
      <w:r>
        <w:rPr>
          <w:rFonts w:ascii="宋体" w:hAnsi="宋体" w:eastAsia="宋体"/>
          <w:sz w:val="22"/>
        </w:rPr>
        <w:t>• 末端配送：与京东物流、顺丰、中通等战略承运商合作，覆盖 B2B + B2C。</w:t>
      </w:r>
    </w:p>
    <w:p>
      <w:r>
        <w:rPr>
          <w:rFonts w:ascii="宋体" w:hAnsi="宋体" w:eastAsia="宋体"/>
          <w:sz w:val="22"/>
        </w:rPr>
        <w:t>1.2 物流业务模式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业务模式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订单类型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典型交付时效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SKU 特征</w:t>
            </w:r>
          </w:p>
        </w:tc>
      </w:tr>
      <w:tr>
        <w:tc>
          <w:tcPr>
            <w:tcW w:type="dxa" w:w="2160"/>
          </w:tcPr>
          <w:p>
            <w:r>
              <w:t>B2B 大宗</w:t>
            </w:r>
          </w:p>
        </w:tc>
        <w:tc>
          <w:tcPr>
            <w:tcW w:type="dxa" w:w="2160"/>
          </w:tcPr>
          <w:p>
            <w:r>
              <w:t>整车/整柜</w:t>
            </w:r>
          </w:p>
        </w:tc>
        <w:tc>
          <w:tcPr>
            <w:tcW w:type="dxa" w:w="2160"/>
          </w:tcPr>
          <w:p>
            <w:r>
              <w:t>3-7 天</w:t>
            </w:r>
          </w:p>
        </w:tc>
        <w:tc>
          <w:tcPr>
            <w:tcW w:type="dxa" w:w="2160"/>
          </w:tcPr>
          <w:p>
            <w:r>
              <w:t>重货、低周转</w:t>
            </w:r>
          </w:p>
        </w:tc>
      </w:tr>
      <w:tr>
        <w:tc>
          <w:tcPr>
            <w:tcW w:type="dxa" w:w="2160"/>
          </w:tcPr>
          <w:p>
            <w:r>
              <w:t>B2B 城市配送</w:t>
            </w:r>
          </w:p>
        </w:tc>
        <w:tc>
          <w:tcPr>
            <w:tcW w:type="dxa" w:w="2160"/>
          </w:tcPr>
          <w:p>
            <w:r>
              <w:t>吨级+多 SKU</w:t>
            </w:r>
          </w:p>
        </w:tc>
        <w:tc>
          <w:tcPr>
            <w:tcW w:type="dxa" w:w="2160"/>
          </w:tcPr>
          <w:p>
            <w:r>
              <w:t>24-48 小时</w:t>
            </w:r>
          </w:p>
        </w:tc>
        <w:tc>
          <w:tcPr>
            <w:tcW w:type="dxa" w:w="2160"/>
          </w:tcPr>
          <w:p>
            <w:r>
              <w:t>工业品、MRO</w:t>
            </w:r>
          </w:p>
        </w:tc>
      </w:tr>
      <w:tr>
        <w:tc>
          <w:tcPr>
            <w:tcW w:type="dxa" w:w="2160"/>
          </w:tcPr>
          <w:p>
            <w:r>
              <w:t>B2C 电商</w:t>
            </w:r>
          </w:p>
        </w:tc>
        <w:tc>
          <w:tcPr>
            <w:tcW w:type="dxa" w:w="2160"/>
          </w:tcPr>
          <w:p>
            <w:r>
              <w:t>单件/小包</w:t>
            </w:r>
          </w:p>
        </w:tc>
        <w:tc>
          <w:tcPr>
            <w:tcW w:type="dxa" w:w="2160"/>
          </w:tcPr>
          <w:p>
            <w:r>
              <w:t>当日/次日达</w:t>
            </w:r>
          </w:p>
        </w:tc>
        <w:tc>
          <w:tcPr>
            <w:tcW w:type="dxa" w:w="2160"/>
          </w:tcPr>
          <w:p>
            <w:r>
              <w:t>高 SKU 深度</w:t>
            </w:r>
          </w:p>
        </w:tc>
      </w:tr>
      <w:tr>
        <w:tc>
          <w:tcPr>
            <w:tcW w:type="dxa" w:w="2160"/>
          </w:tcPr>
          <w:p>
            <w:r>
              <w:t>跨境物流</w:t>
            </w:r>
          </w:p>
        </w:tc>
        <w:tc>
          <w:tcPr>
            <w:tcW w:type="dxa" w:w="2160"/>
          </w:tcPr>
          <w:p>
            <w:r>
              <w:t>海运/空运</w:t>
            </w:r>
          </w:p>
        </w:tc>
        <w:tc>
          <w:tcPr>
            <w:tcW w:type="dxa" w:w="2160"/>
          </w:tcPr>
          <w:p>
            <w:r>
              <w:t>15-45 天</w:t>
            </w:r>
          </w:p>
        </w:tc>
        <w:tc>
          <w:tcPr>
            <w:tcW w:type="dxa" w:w="2160"/>
          </w:tcPr>
          <w:p>
            <w:r>
              <w:t>大宗、长交期</w:t>
            </w:r>
          </w:p>
        </w:tc>
      </w:tr>
      <w:tr>
        <w:tc>
          <w:tcPr>
            <w:tcW w:type="dxa" w:w="2160"/>
          </w:tcPr>
          <w:p>
            <w:r>
              <w:t>冷链</w:t>
            </w:r>
          </w:p>
        </w:tc>
        <w:tc>
          <w:tcPr>
            <w:tcW w:type="dxa" w:w="2160"/>
          </w:tcPr>
          <w:p>
            <w:r>
              <w:t>全程温控</w:t>
            </w:r>
          </w:p>
        </w:tc>
        <w:tc>
          <w:tcPr>
            <w:tcW w:type="dxa" w:w="2160"/>
          </w:tcPr>
          <w:p>
            <w:r>
              <w:t>24-72 小时</w:t>
            </w:r>
          </w:p>
        </w:tc>
        <w:tc>
          <w:tcPr>
            <w:tcW w:type="dxa" w:w="2160"/>
          </w:tcPr>
          <w:p>
            <w:r>
              <w:t>生鲜、医药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第二章 仓储管理</w:t>
      </w:r>
    </w:p>
    <w:p>
      <w:r>
        <w:rPr>
          <w:rFonts w:ascii="宋体" w:hAnsi="宋体" w:eastAsia="宋体"/>
          <w:sz w:val="22"/>
        </w:rPr>
        <w:t>2.1 仓库分类与功能</w:t>
      </w:r>
    </w:p>
    <w:p>
      <w:r>
        <w:rPr>
          <w:rFonts w:ascii="宋体" w:hAnsi="宋体" w:eastAsia="宋体"/>
          <w:sz w:val="22"/>
        </w:rPr>
        <w:t>按功能分为：原料仓、成品仓、中转仓、退货仓、不良品仓。</w:t>
      </w:r>
    </w:p>
    <w:p>
      <w:r>
        <w:rPr>
          <w:rFonts w:ascii="宋体" w:hAnsi="宋体" w:eastAsia="宋体"/>
          <w:sz w:val="22"/>
        </w:rPr>
        <w:t>按温控分为：常温（10-30℃）、恒温（18-22℃）、冷藏（0-4℃）、冷冻（-18℃以下）。</w:t>
      </w:r>
    </w:p>
    <w:p>
      <w:r>
        <w:rPr>
          <w:rFonts w:ascii="宋体" w:hAnsi="宋体" w:eastAsia="宋体"/>
          <w:sz w:val="22"/>
        </w:rPr>
        <w:t>按自动化分为：传统人工仓、自动化立体仓（AS/RS）、AMR 仓。</w:t>
      </w:r>
    </w:p>
    <w:p>
      <w:r>
        <w:rPr>
          <w:rFonts w:ascii="宋体" w:hAnsi="宋体" w:eastAsia="宋体"/>
          <w:sz w:val="22"/>
        </w:rPr>
        <w:t>2.2 库位管理</w:t>
      </w:r>
    </w:p>
    <w:p>
      <w:r>
        <w:rPr>
          <w:rFonts w:ascii="宋体" w:hAnsi="宋体" w:eastAsia="宋体"/>
          <w:sz w:val="22"/>
        </w:rPr>
        <w:t>• 库位编码：采用 4 段 8 位编码（区域-巷道-货架-层位），如 A-03-12-B。</w:t>
      </w:r>
    </w:p>
    <w:p>
      <w:r>
        <w:rPr>
          <w:rFonts w:ascii="宋体" w:hAnsi="宋体" w:eastAsia="宋体"/>
          <w:sz w:val="22"/>
        </w:rPr>
        <w:t>• ABC 分类：A 类（高周转、占 20% SKU 贡献 80% 出库量）靠近出库口；C 类（低周转）放远端；B 类居中。</w:t>
      </w:r>
    </w:p>
    <w:p>
      <w:r>
        <w:rPr>
          <w:rFonts w:ascii="宋体" w:hAnsi="宋体" w:eastAsia="宋体"/>
          <w:sz w:val="22"/>
        </w:rPr>
        <w:t>• 库位利用率：目标 ≥ 85%，通过库位调整 + 货架优化达成。</w:t>
      </w:r>
    </w:p>
    <w:p>
      <w:r>
        <w:rPr>
          <w:rFonts w:ascii="宋体" w:hAnsi="宋体" w:eastAsia="宋体"/>
          <w:sz w:val="22"/>
        </w:rPr>
        <w:t>2.3 库存管理方法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关键参数</w:t>
            </w:r>
          </w:p>
        </w:tc>
      </w:tr>
      <w:tr>
        <w:tc>
          <w:tcPr>
            <w:tcW w:type="dxa" w:w="2880"/>
          </w:tcPr>
          <w:p>
            <w:r>
              <w:t>定量订货法（Q 模型）</w:t>
            </w:r>
          </w:p>
        </w:tc>
        <w:tc>
          <w:tcPr>
            <w:tcW w:type="dxa" w:w="2880"/>
          </w:tcPr>
          <w:p>
            <w:r>
              <w:t>需求稳定、订货成本高</w:t>
            </w:r>
          </w:p>
        </w:tc>
        <w:tc>
          <w:tcPr>
            <w:tcW w:type="dxa" w:w="2880"/>
          </w:tcPr>
          <w:p>
            <w:r>
              <w:t>EOQ、再订货点 ROP</w:t>
            </w:r>
          </w:p>
        </w:tc>
      </w:tr>
      <w:tr>
        <w:tc>
          <w:tcPr>
            <w:tcW w:type="dxa" w:w="2880"/>
          </w:tcPr>
          <w:p>
            <w:r>
              <w:t>定期订货法（P 模型）</w:t>
            </w:r>
          </w:p>
        </w:tc>
        <w:tc>
          <w:tcPr>
            <w:tcW w:type="dxa" w:w="2880"/>
          </w:tcPr>
          <w:p>
            <w:r>
              <w:t>定期盘点、联合采购</w:t>
            </w:r>
          </w:p>
        </w:tc>
        <w:tc>
          <w:tcPr>
            <w:tcW w:type="dxa" w:w="2880"/>
          </w:tcPr>
          <w:p>
            <w:r>
              <w:t>订货周期 T、最高库存</w:t>
            </w:r>
          </w:p>
        </w:tc>
      </w:tr>
      <w:tr>
        <w:tc>
          <w:tcPr>
            <w:tcW w:type="dxa" w:w="2880"/>
          </w:tcPr>
          <w:p>
            <w:r>
              <w:t>ABC-XYZ 矩阵</w:t>
            </w:r>
          </w:p>
        </w:tc>
        <w:tc>
          <w:tcPr>
            <w:tcW w:type="dxa" w:w="2880"/>
          </w:tcPr>
          <w:p>
            <w:r>
              <w:t>差异化管理</w:t>
            </w:r>
          </w:p>
        </w:tc>
        <w:tc>
          <w:tcPr>
            <w:tcW w:type="dxa" w:w="2880"/>
          </w:tcPr>
          <w:p>
            <w:r>
              <w:t>按价值 × 需求波动性分类</w:t>
            </w:r>
          </w:p>
        </w:tc>
      </w:tr>
      <w:tr>
        <w:tc>
          <w:tcPr>
            <w:tcW w:type="dxa" w:w="2880"/>
          </w:tcPr>
          <w:p>
            <w:r>
              <w:t>JIT/VMI</w:t>
            </w:r>
          </w:p>
        </w:tc>
        <w:tc>
          <w:tcPr>
            <w:tcW w:type="dxa" w:w="2880"/>
          </w:tcPr>
          <w:p>
            <w:r>
              <w:t>战略供应商协同</w:t>
            </w:r>
          </w:p>
        </w:tc>
        <w:tc>
          <w:tcPr>
            <w:tcW w:type="dxa" w:w="2880"/>
          </w:tcPr>
          <w:p>
            <w:r>
              <w:t>看板拉动、供应商补货</w:t>
            </w:r>
          </w:p>
        </w:tc>
      </w:tr>
    </w:tbl>
    <w:p>
      <w:r>
        <w:rPr>
          <w:rFonts w:ascii="宋体" w:hAnsi="宋体" w:eastAsia="宋体"/>
          <w:sz w:val="22"/>
        </w:rPr>
        <w:t>2.4 安全库存与再订货点</w:t>
      </w:r>
    </w:p>
    <w:p>
      <w:r>
        <w:rPr>
          <w:rFonts w:ascii="宋体" w:hAnsi="宋体" w:eastAsia="宋体"/>
          <w:sz w:val="22"/>
        </w:rPr>
        <w:t>ROP = 平均日需求 × 补货提前期 + Z × σ × √L</w:t>
      </w:r>
    </w:p>
    <w:p>
      <w:r>
        <w:rPr>
          <w:rFonts w:ascii="宋体" w:hAnsi="宋体" w:eastAsia="宋体"/>
          <w:sz w:val="22"/>
        </w:rPr>
        <w:t>其中 Z 为服务水平对应的标准正态分位数（95% → 1.65，99% → 2.33），σ 为日需求标准差，L 为补货提前期天数。</w:t>
      </w:r>
    </w:p>
    <w:p>
      <w:pPr>
        <w:pStyle w:val="Heading1"/>
      </w:pPr>
      <w:r>
        <w:rPr>
          <w:rFonts w:ascii="黑体" w:hAnsi="黑体" w:eastAsia="黑体"/>
        </w:rPr>
        <w:t>第三章 运输管理</w:t>
      </w:r>
    </w:p>
    <w:p>
      <w:r>
        <w:rPr>
          <w:rFonts w:ascii="宋体" w:hAnsi="宋体" w:eastAsia="宋体"/>
          <w:sz w:val="22"/>
        </w:rPr>
        <w:t>3.1 运输方式选择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速度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适用</w:t>
            </w:r>
          </w:p>
        </w:tc>
      </w:tr>
      <w:tr>
        <w:tc>
          <w:tcPr>
            <w:tcW w:type="dxa" w:w="2160"/>
          </w:tcPr>
          <w:p>
            <w:r>
              <w:t>公路</w:t>
            </w:r>
          </w:p>
        </w:tc>
        <w:tc>
          <w:tcPr>
            <w:tcW w:type="dxa" w:w="2160"/>
          </w:tcPr>
          <w:p>
            <w:r>
              <w:t>快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中短途、门到门</w:t>
            </w:r>
          </w:p>
        </w:tc>
      </w:tr>
      <w:tr>
        <w:tc>
          <w:tcPr>
            <w:tcW w:type="dxa" w:w="2160"/>
          </w:tcPr>
          <w:p>
            <w:r>
              <w:t>铁路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大宗、长距离</w:t>
            </w:r>
          </w:p>
        </w:tc>
      </w:tr>
      <w:tr>
        <w:tc>
          <w:tcPr>
            <w:tcW w:type="dxa" w:w="2160"/>
          </w:tcPr>
          <w:p>
            <w:r>
              <w:t>水路</w:t>
            </w:r>
          </w:p>
        </w:tc>
        <w:tc>
          <w:tcPr>
            <w:tcW w:type="dxa" w:w="2160"/>
          </w:tcPr>
          <w:p>
            <w:r>
              <w:t>慢</w:t>
            </w:r>
          </w:p>
        </w:tc>
        <w:tc>
          <w:tcPr>
            <w:tcW w:type="dxa" w:w="2160"/>
          </w:tcPr>
          <w:p>
            <w:r>
              <w:t>极低</w:t>
            </w:r>
          </w:p>
        </w:tc>
        <w:tc>
          <w:tcPr>
            <w:tcW w:type="dxa" w:w="2160"/>
          </w:tcPr>
          <w:p>
            <w:r>
              <w:t>超大件、低时效</w:t>
            </w:r>
          </w:p>
        </w:tc>
      </w:tr>
      <w:tr>
        <w:tc>
          <w:tcPr>
            <w:tcW w:type="dxa" w:w="2160"/>
          </w:tcPr>
          <w:p>
            <w:r>
              <w:t>航空</w:t>
            </w:r>
          </w:p>
        </w:tc>
        <w:tc>
          <w:tcPr>
            <w:tcW w:type="dxa" w:w="2160"/>
          </w:tcPr>
          <w:p>
            <w:r>
              <w:t>极快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高价值、紧急</w:t>
            </w:r>
          </w:p>
        </w:tc>
      </w:tr>
      <w:tr>
        <w:tc>
          <w:tcPr>
            <w:tcW w:type="dxa" w:w="2160"/>
          </w:tcPr>
          <w:p>
            <w:r>
              <w:t>多式联运</w:t>
            </w:r>
          </w:p>
        </w:tc>
        <w:tc>
          <w:tcPr>
            <w:tcW w:type="dxa" w:w="2160"/>
          </w:tcPr>
          <w:p>
            <w:r>
              <w:t>依组合</w:t>
            </w:r>
          </w:p>
        </w:tc>
        <w:tc>
          <w:tcPr>
            <w:tcW w:type="dxa" w:w="2160"/>
          </w:tcPr>
          <w:p>
            <w:r>
              <w:t>依组合</w:t>
            </w:r>
          </w:p>
        </w:tc>
        <w:tc>
          <w:tcPr>
            <w:tcW w:type="dxa" w:w="2160"/>
          </w:tcPr>
          <w:p>
            <w:r>
              <w:t>长距离、跨区</w:t>
            </w:r>
          </w:p>
        </w:tc>
      </w:tr>
    </w:tbl>
    <w:p>
      <w:r>
        <w:rPr>
          <w:rFonts w:ascii="宋体" w:hAnsi="宋体" w:eastAsia="宋体"/>
          <w:sz w:val="22"/>
        </w:rPr>
        <w:t>3.2 承运商管理</w:t>
      </w:r>
    </w:p>
    <w:p>
      <w:r>
        <w:rPr>
          <w:rFonts w:ascii="宋体" w:hAnsi="宋体" w:eastAsia="宋体"/>
          <w:sz w:val="22"/>
        </w:rPr>
        <w:t>• 资质审核：道路运输许可证、车辆营运证、驾驶员从业资格。</w:t>
      </w:r>
    </w:p>
    <w:p>
      <w:r>
        <w:rPr>
          <w:rFonts w:ascii="宋体" w:hAnsi="宋体" w:eastAsia="宋体"/>
          <w:sz w:val="22"/>
        </w:rPr>
        <w:t>• 绩效评估：KPI 含 OTD、运输破损率、单票成本、客户投诉。</w:t>
      </w:r>
    </w:p>
    <w:p>
      <w:r>
        <w:rPr>
          <w:rFonts w:ascii="宋体" w:hAnsi="宋体" w:eastAsia="宋体"/>
          <w:sz w:val="22"/>
        </w:rPr>
        <w:t>• 招标机制：年度框架招标，季度复盘。</w:t>
      </w:r>
    </w:p>
    <w:p>
      <w:r>
        <w:rPr>
          <w:rFonts w:ascii="宋体" w:hAnsi="宋体" w:eastAsia="宋体"/>
          <w:sz w:val="22"/>
        </w:rPr>
        <w:t>• 数字化对接：通过 TMS 系统实现订单、运力、回单电子化。</w:t>
      </w:r>
    </w:p>
    <w:p>
      <w:r>
        <w:rPr>
          <w:rFonts w:ascii="宋体" w:hAnsi="宋体" w:eastAsia="宋体"/>
          <w:sz w:val="22"/>
        </w:rPr>
        <w:t>3.3 装载与配载优化</w:t>
      </w:r>
    </w:p>
    <w:p>
      <w:r>
        <w:rPr>
          <w:rFonts w:ascii="宋体" w:hAnsi="宋体" w:eastAsia="宋体"/>
          <w:sz w:val="22"/>
        </w:rPr>
        <w:t>• 三维装箱：考虑重量、尺寸、堆码约束，最大化车辆利用率。</w:t>
      </w:r>
    </w:p>
    <w:p>
      <w:r>
        <w:rPr>
          <w:rFonts w:ascii="宋体" w:hAnsi="宋体" w:eastAsia="宋体"/>
          <w:sz w:val="22"/>
        </w:rPr>
        <w:t>• LIFO/FI-FO：易碎品用 LIFO，重货在下、轻物在上。</w:t>
      </w:r>
    </w:p>
    <w:p>
      <w:r>
        <w:rPr>
          <w:rFonts w:ascii="宋体" w:hAnsi="宋体" w:eastAsia="宋体"/>
          <w:sz w:val="22"/>
        </w:rPr>
        <w:t>• 危险品：按 UN 分类隔离，符合 ADR/IMDG/IATA 规范。</w:t>
      </w:r>
    </w:p>
    <w:p>
      <w:pPr>
        <w:pStyle w:val="Heading1"/>
      </w:pPr>
      <w:r>
        <w:rPr>
          <w:rFonts w:ascii="黑体" w:hAnsi="黑体" w:eastAsia="黑体"/>
        </w:rPr>
        <w:t>第四章 配送路径优化</w:t>
      </w:r>
    </w:p>
    <w:p>
      <w:r>
        <w:rPr>
          <w:rFonts w:ascii="宋体" w:hAnsi="宋体" w:eastAsia="宋体"/>
          <w:sz w:val="22"/>
        </w:rPr>
        <w:t>4.1 经典问题</w:t>
      </w:r>
    </w:p>
    <w:p>
      <w:r>
        <w:rPr>
          <w:rFonts w:ascii="宋体" w:hAnsi="宋体" w:eastAsia="宋体"/>
          <w:sz w:val="22"/>
        </w:rPr>
        <w:t>• VRP（Vehicle Routing Problem）：在满足约束下，求最低配送成本路径。</w:t>
      </w:r>
    </w:p>
    <w:p>
      <w:r>
        <w:rPr>
          <w:rFonts w:ascii="宋体" w:hAnsi="宋体" w:eastAsia="宋体"/>
          <w:sz w:val="22"/>
        </w:rPr>
        <w:t>• VRPTW（带时间窗）：客户要求在指定时间窗内送达。</w:t>
      </w:r>
    </w:p>
    <w:p>
      <w:r>
        <w:rPr>
          <w:rFonts w:ascii="宋体" w:hAnsi="宋体" w:eastAsia="宋体"/>
          <w:sz w:val="22"/>
        </w:rPr>
        <w:t>• PDP（取送货一体）：同时取货与送货。</w:t>
      </w:r>
    </w:p>
    <w:p>
      <w:r>
        <w:rPr>
          <w:rFonts w:ascii="宋体" w:hAnsi="宋体" w:eastAsia="宋体"/>
          <w:sz w:val="22"/>
        </w:rPr>
        <w:t>• DVRP（动态 VRP）：订单实时产生，路径动态调整。</w:t>
      </w:r>
    </w:p>
    <w:p>
      <w:r>
        <w:rPr>
          <w:rFonts w:ascii="宋体" w:hAnsi="宋体" w:eastAsia="宋体"/>
          <w:sz w:val="22"/>
        </w:rPr>
        <w:t>4.2 求解方法</w:t>
      </w:r>
    </w:p>
    <w:p>
      <w:r>
        <w:rPr>
          <w:rFonts w:ascii="宋体" w:hAnsi="宋体" w:eastAsia="宋体"/>
          <w:sz w:val="22"/>
        </w:rPr>
        <w:t>• 精确算法：分支定界、动态规划（适用于小规模，&lt; 50 节点）。</w:t>
      </w:r>
    </w:p>
    <w:p>
      <w:r>
        <w:rPr>
          <w:rFonts w:ascii="宋体" w:hAnsi="宋体" w:eastAsia="宋体"/>
          <w:sz w:val="22"/>
        </w:rPr>
        <w:t>• 启发式：Clarke-Wright 节约法、扫描法（中等规模）。</w:t>
      </w:r>
    </w:p>
    <w:p>
      <w:r>
        <w:rPr>
          <w:rFonts w:ascii="宋体" w:hAnsi="宋体" w:eastAsia="宋体"/>
          <w:sz w:val="22"/>
        </w:rPr>
        <w:t>• 元启发式：遗传算法 GA、禁忌搜索 TS、模拟退火 SA、蚁群 ACO（大规模）。</w:t>
      </w:r>
    </w:p>
    <w:p>
      <w:r>
        <w:rPr>
          <w:rFonts w:ascii="宋体" w:hAnsi="宋体" w:eastAsia="宋体"/>
          <w:sz w:val="22"/>
        </w:rPr>
        <w:t>• 商业求解器：Gurobi、CPLEX、OR-Tools。</w:t>
      </w:r>
    </w:p>
    <w:p>
      <w:r>
        <w:rPr>
          <w:rFonts w:ascii="宋体" w:hAnsi="宋体" w:eastAsia="宋体"/>
          <w:sz w:val="22"/>
        </w:rPr>
        <w:t>4.3 路径优化实战</w:t>
      </w:r>
    </w:p>
    <w:p>
      <w:r>
        <w:rPr>
          <w:rFonts w:ascii="宋体" w:hAnsi="宋体" w:eastAsia="宋体"/>
          <w:sz w:val="22"/>
        </w:rPr>
        <w:t>某城配场景：1 个 DC、15 个客户、3 辆 5 吨车、每个客户有时间窗、载重约束。</w:t>
      </w:r>
    </w:p>
    <w:p>
      <w:r>
        <w:rPr>
          <w:rFonts w:ascii="宋体" w:hAnsi="宋体" w:eastAsia="宋体"/>
          <w:sz w:val="22"/>
        </w:rPr>
        <w:t>建模后用 OR-Tools 求解，10 秒内得到方案，行驶里程从 285 km 降至 198 km，降幅 30.5%，车辆利用率从 65% 提升至 89%。</w:t>
      </w:r>
    </w:p>
    <w:p>
      <w:pPr>
        <w:pStyle w:val="Heading1"/>
      </w:pPr>
      <w:r>
        <w:rPr>
          <w:rFonts w:ascii="黑体" w:hAnsi="黑体" w:eastAsia="黑体"/>
        </w:rPr>
        <w:t>第五章 逆向物流</w:t>
      </w:r>
    </w:p>
    <w:p>
      <w:r>
        <w:rPr>
          <w:rFonts w:ascii="宋体" w:hAnsi="宋体" w:eastAsia="宋体"/>
          <w:sz w:val="22"/>
        </w:rPr>
        <w:t>5.1 退货原因分类</w:t>
      </w:r>
    </w:p>
    <w:p>
      <w:r>
        <w:rPr>
          <w:rFonts w:ascii="宋体" w:hAnsi="宋体" w:eastAsia="宋体"/>
          <w:sz w:val="22"/>
        </w:rPr>
        <w:t>• 客户原因：不喜欢、不合适、误购 → 重新入库或折价销售。</w:t>
      </w:r>
    </w:p>
    <w:p>
      <w:r>
        <w:rPr>
          <w:rFonts w:ascii="宋体" w:hAnsi="宋体" w:eastAsia="宋体"/>
          <w:sz w:val="22"/>
        </w:rPr>
        <w:t>• 质量原因：破损、故障、性能不达标 → 维修、报废、召回。</w:t>
      </w:r>
    </w:p>
    <w:p>
      <w:r>
        <w:rPr>
          <w:rFonts w:ascii="宋体" w:hAnsi="宋体" w:eastAsia="宋体"/>
          <w:sz w:val="22"/>
        </w:rPr>
        <w:t>• 物流原因：错发、漏发、运输损坏 → 补发、退款、索赔。</w:t>
      </w:r>
    </w:p>
    <w:p>
      <w:r>
        <w:rPr>
          <w:rFonts w:ascii="宋体" w:hAnsi="宋体" w:eastAsia="宋体"/>
          <w:sz w:val="22"/>
        </w:rPr>
        <w:t>• 商业原因：库存清理、滞销、合同退货 → 折价、退回供应商。</w:t>
      </w:r>
    </w:p>
    <w:p>
      <w:r>
        <w:rPr>
          <w:rFonts w:ascii="宋体" w:hAnsi="宋体" w:eastAsia="宋体"/>
          <w:sz w:val="22"/>
        </w:rPr>
        <w:t>5.2 退货处理流程</w:t>
      </w:r>
    </w:p>
    <w:p>
      <w:r>
        <w:rPr>
          <w:rFonts w:ascii="宋体" w:hAnsi="宋体" w:eastAsia="宋体"/>
          <w:sz w:val="22"/>
        </w:rPr>
        <w:t>客户申请 → 客服审核 → 物流上门取件 → 验收检测 → 分类处置：可二次销售 / 维修翻新 / 报废 / 退回供应商。</w:t>
      </w:r>
    </w:p>
    <w:p>
      <w:r>
        <w:rPr>
          <w:rFonts w:ascii="宋体" w:hAnsi="宋体" w:eastAsia="宋体"/>
          <w:sz w:val="22"/>
        </w:rPr>
        <w:t>5.3 召回管理</w:t>
      </w:r>
    </w:p>
    <w:p>
      <w:r>
        <w:rPr>
          <w:rFonts w:ascii="宋体" w:hAnsi="宋体" w:eastAsia="宋体"/>
          <w:sz w:val="22"/>
        </w:rPr>
        <w:t>重大召回需 24 小时内启动预案：</w:t>
      </w:r>
    </w:p>
    <w:p>
      <w:r>
        <w:rPr>
          <w:rFonts w:ascii="宋体" w:hAnsi="宋体" w:eastAsia="宋体"/>
          <w:sz w:val="22"/>
        </w:rPr>
        <w:t>1) 通知监管部门和消费者；2) 锁定库存与在途品；3) 启动回收；4) 信息追溯（批次/序列号）；5) 复盘改进。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附录 D 关键作业指导书</w:t>
      </w:r>
    </w:p>
    <w:p>
      <w:r>
        <w:rPr>
          <w:rFonts w:ascii="宋体" w:hAnsi="宋体" w:eastAsia="宋体"/>
          <w:sz w:val="22"/>
        </w:rPr>
        <w:t>D-01《入库验收 SOP》  D-02《盘点作业指导书》  D-03《出库拣货 SOP》  D-04《装卸搬运安全规范》  D-05《冷链操作 SOP》  D-06《危险品运输应急方案》</w:t>
      </w:r>
    </w:p>
    <w:p>
      <w:pPr>
        <w:jc w:val="center"/>
      </w:pPr>
      <w:r>
        <w:rPr>
          <w:sz w:val="16"/>
          <w:color w:val="808080"/>
        </w:rPr>
        <w:t>由 MiniMax AI生成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{"Label":"1","ContentProducer":"MiniMax AI","ProduceID":"user:516404144421060611/node:439133827592621/ts:1788763894423","ReservedCode1":"","ContentPropagator":"MiniMax AI","PropagateID":"user:516404144421060611/node:439133827592621/ts:1788763894423","ReservedCode2":""}</vt:lpwstr>
  </property>
</Properties>
</file>