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供应商管理流程规范</w:t>
      </w:r>
    </w:p>
    <w:p>
      <w:pPr>
        <w:jc w:val="center"/>
      </w:pPr>
      <w:r>
        <w:rPr>
          <w:i/>
          <w:sz w:val="20"/>
        </w:rPr>
        <w:t>编号：SCM-PROC-2024-002  |  密级：内部公开  |  适用范围：集团全部业务单元</w:t>
      </w:r>
    </w:p>
    <w:p/>
    <w:p>
      <w:pPr>
        <w:pStyle w:val="Heading1"/>
      </w:pPr>
      <w:r>
        <w:rPr>
          <w:rFonts w:ascii="黑体" w:hAnsi="黑体" w:eastAsia="黑体"/>
        </w:rPr>
        <w:t>第一章 总则</w:t>
      </w:r>
    </w:p>
    <w:p>
      <w:r>
        <w:rPr>
          <w:rFonts w:ascii="宋体" w:hAnsi="宋体" w:eastAsia="宋体"/>
          <w:sz w:val="22"/>
        </w:rPr>
        <w:t>1.1 目的</w:t>
      </w:r>
    </w:p>
    <w:p>
      <w:r>
        <w:rPr>
          <w:rFonts w:ascii="宋体" w:hAnsi="宋体" w:eastAsia="宋体"/>
          <w:sz w:val="22"/>
        </w:rPr>
        <w:t>为规范集团供应商全生命周期管理行为，建立"准入—评估—分级—发展—退出"闭环管理机制，实现供应商资源优化配置，支撑业务高质量、可持续发展，特制定本规范。</w:t>
      </w:r>
    </w:p>
    <w:p>
      <w:r>
        <w:rPr>
          <w:rFonts w:ascii="宋体" w:hAnsi="宋体" w:eastAsia="宋体"/>
          <w:sz w:val="22"/>
        </w:rPr>
        <w:t>1.2 适用范围</w:t>
      </w:r>
    </w:p>
    <w:p>
      <w:r>
        <w:rPr>
          <w:rFonts w:ascii="宋体" w:hAnsi="宋体" w:eastAsia="宋体"/>
          <w:sz w:val="22"/>
        </w:rPr>
        <w:t>适用于集团总部、各事业部、子公司所有对外采购活动所涉及之供应商，包括但不限于：原材料、零部件、设备、MRO、IT 服务、物流、咨询、外包加工等类别。</w:t>
      </w:r>
    </w:p>
    <w:p>
      <w:r>
        <w:rPr>
          <w:rFonts w:ascii="宋体" w:hAnsi="宋体" w:eastAsia="宋体"/>
          <w:sz w:val="22"/>
        </w:rPr>
        <w:t>1.3 术语定义</w:t>
      </w:r>
    </w:p>
    <w:p>
      <w:r>
        <w:rPr>
          <w:rFonts w:ascii="宋体" w:hAnsi="宋体" w:eastAsia="宋体"/>
          <w:sz w:val="22"/>
        </w:rPr>
        <w:t>• 战略供应商（Strategic Supplier）：与集团签订长期合作协议、年度采购额 ≥ 5000 万元、提供关键物料或服务的供应商。</w:t>
      </w:r>
    </w:p>
    <w:p>
      <w:r>
        <w:rPr>
          <w:rFonts w:ascii="宋体" w:hAnsi="宋体" w:eastAsia="宋体"/>
          <w:sz w:val="22"/>
        </w:rPr>
        <w:t>• 瓶颈供应商（Bottleneck Supplier）：供应风险高、替代性差的供应商，需特别管理。</w:t>
      </w:r>
    </w:p>
    <w:p>
      <w:r>
        <w:rPr>
          <w:rFonts w:ascii="宋体" w:hAnsi="宋体" w:eastAsia="宋体"/>
          <w:sz w:val="22"/>
        </w:rPr>
        <w:t>• 杠杆供应商（Leverage Supplier）：供应风险低、采购金额大，可通过招标压价。</w:t>
      </w:r>
    </w:p>
    <w:p>
      <w:r>
        <w:rPr>
          <w:rFonts w:ascii="宋体" w:hAnsi="宋体" w:eastAsia="宋体"/>
          <w:sz w:val="22"/>
        </w:rPr>
        <w:t>• 常规供应商（Routine Supplier）：供应风险低、采购金额小，可标准化管理。</w:t>
      </w:r>
    </w:p>
    <w:p>
      <w:pPr>
        <w:pStyle w:val="Heading1"/>
      </w:pPr>
      <w:r>
        <w:rPr>
          <w:rFonts w:ascii="黑体" w:hAnsi="黑体" w:eastAsia="黑体"/>
        </w:rPr>
        <w:t>第二章 供应商分类与分级</w:t>
      </w:r>
    </w:p>
    <w:p>
      <w:r>
        <w:rPr>
          <w:rFonts w:ascii="宋体" w:hAnsi="宋体" w:eastAsia="宋体"/>
          <w:sz w:val="22"/>
        </w:rPr>
        <w:t>2.1 Kraljic 矩阵分类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象限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采购金额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供应风险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管理策略</w:t>
            </w:r>
          </w:p>
        </w:tc>
      </w:tr>
      <w:tr>
        <w:tc>
          <w:tcPr>
            <w:tcW w:type="dxa" w:w="2160"/>
          </w:tcPr>
          <w:p>
            <w:r>
              <w:t>战略型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建立战略联盟、长期协议、联合研发</w:t>
            </w:r>
          </w:p>
        </w:tc>
      </w:tr>
      <w:tr>
        <w:tc>
          <w:tcPr>
            <w:tcW w:type="dxa" w:w="2160"/>
          </w:tcPr>
          <w:p>
            <w:r>
              <w:t>杠杆型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公开招标、年度降价、标准化</w:t>
            </w:r>
          </w:p>
        </w:tc>
      </w:tr>
      <w:tr>
        <w:tc>
          <w:tcPr>
            <w:tcW w:type="dxa" w:w="2160"/>
          </w:tcPr>
          <w:p>
            <w:r>
              <w:t>瓶颈型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安全库存、双源备份、辅助开发</w:t>
            </w:r>
          </w:p>
        </w:tc>
      </w:tr>
      <w:tr>
        <w:tc>
          <w:tcPr>
            <w:tcW w:type="dxa" w:w="2160"/>
          </w:tcPr>
          <w:p>
            <w:r>
              <w:t>常规型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简化流程、电子化采购、批次管理</w:t>
            </w:r>
          </w:p>
        </w:tc>
      </w:tr>
    </w:tbl>
    <w:p>
      <w:r>
        <w:rPr>
          <w:rFonts w:ascii="宋体" w:hAnsi="宋体" w:eastAsia="宋体"/>
          <w:sz w:val="22"/>
        </w:rPr>
        <w:t>2.2 分级评定标准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等级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综合得分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合作权益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考核频次</w:t>
            </w:r>
          </w:p>
        </w:tc>
      </w:tr>
      <w:tr>
        <w:tc>
          <w:tcPr>
            <w:tcW w:type="dxa" w:w="2160"/>
          </w:tcPr>
          <w:p>
            <w:r>
              <w:t>A 级（核心）</w:t>
            </w:r>
          </w:p>
        </w:tc>
        <w:tc>
          <w:tcPr>
            <w:tcW w:type="dxa" w:w="2160"/>
          </w:tcPr>
          <w:p>
            <w:r>
              <w:t>≥ 90</w:t>
            </w:r>
          </w:p>
        </w:tc>
        <w:tc>
          <w:tcPr>
            <w:tcW w:type="dxa" w:w="2160"/>
          </w:tcPr>
          <w:p>
            <w:r>
              <w:t>战略合作、年度框架、付款优先</w:t>
            </w:r>
          </w:p>
        </w:tc>
        <w:tc>
          <w:tcPr>
            <w:tcW w:type="dxa" w:w="2160"/>
          </w:tcPr>
          <w:p>
            <w:r>
              <w:t>季度</w:t>
            </w:r>
          </w:p>
        </w:tc>
      </w:tr>
      <w:tr>
        <w:tc>
          <w:tcPr>
            <w:tcW w:type="dxa" w:w="2160"/>
          </w:tcPr>
          <w:p>
            <w:r>
              <w:t>B 级（优选）</w:t>
            </w:r>
          </w:p>
        </w:tc>
        <w:tc>
          <w:tcPr>
            <w:tcW w:type="dxa" w:w="2160"/>
          </w:tcPr>
          <w:p>
            <w:r>
              <w:t>75-89</w:t>
            </w:r>
          </w:p>
        </w:tc>
        <w:tc>
          <w:tcPr>
            <w:tcW w:type="dxa" w:w="2160"/>
          </w:tcPr>
          <w:p>
            <w:r>
              <w:t>优先合作、年度框架</w:t>
            </w:r>
          </w:p>
        </w:tc>
        <w:tc>
          <w:tcPr>
            <w:tcW w:type="dxa" w:w="2160"/>
          </w:tcPr>
          <w:p>
            <w:r>
              <w:t>半年度</w:t>
            </w:r>
          </w:p>
        </w:tc>
      </w:tr>
      <w:tr>
        <w:tc>
          <w:tcPr>
            <w:tcW w:type="dxa" w:w="2160"/>
          </w:tcPr>
          <w:p>
            <w:r>
              <w:t>C 级（合格）</w:t>
            </w:r>
          </w:p>
        </w:tc>
        <w:tc>
          <w:tcPr>
            <w:tcW w:type="dxa" w:w="2160"/>
          </w:tcPr>
          <w:p>
            <w:r>
              <w:t>60-74</w:t>
            </w:r>
          </w:p>
        </w:tc>
        <w:tc>
          <w:tcPr>
            <w:tcW w:type="dxa" w:w="2160"/>
          </w:tcPr>
          <w:p>
            <w:r>
              <w:t>正常合作、订单竞争</w:t>
            </w:r>
          </w:p>
        </w:tc>
        <w:tc>
          <w:tcPr>
            <w:tcW w:type="dxa" w:w="2160"/>
          </w:tcPr>
          <w:p>
            <w:r>
              <w:t>年度</w:t>
            </w:r>
          </w:p>
        </w:tc>
      </w:tr>
      <w:tr>
        <w:tc>
          <w:tcPr>
            <w:tcW w:type="dxa" w:w="2160"/>
          </w:tcPr>
          <w:p>
            <w:r>
              <w:t>D 级（观察）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限制合作、强制整改</w:t>
            </w:r>
          </w:p>
        </w:tc>
        <w:tc>
          <w:tcPr>
            <w:tcW w:type="dxa" w:w="2160"/>
          </w:tcPr>
          <w:p>
            <w:r>
              <w:t>季度+月度跟踪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第三章 供应商开发与准入</w:t>
      </w:r>
    </w:p>
    <w:p>
      <w:r>
        <w:rPr>
          <w:rFonts w:ascii="宋体" w:hAnsi="宋体" w:eastAsia="宋体"/>
          <w:sz w:val="22"/>
        </w:rPr>
        <w:t>3.1 开发流程（7 步法）</w:t>
      </w:r>
    </w:p>
    <w:p>
      <w:r>
        <w:rPr>
          <w:rFonts w:ascii="宋体" w:hAnsi="宋体" w:eastAsia="宋体"/>
          <w:sz w:val="22"/>
        </w:rPr>
        <w:t>Step 1：需求分析 — 业务部门提出采购需求，明确规格、数量、交付要求。</w:t>
      </w:r>
    </w:p>
    <w:p>
      <w:r>
        <w:rPr>
          <w:rFonts w:ascii="宋体" w:hAnsi="宋体" w:eastAsia="宋体"/>
          <w:sz w:val="22"/>
        </w:rPr>
        <w:t>Step 2：市场调研 — 采购部通过行业协会、展会、B2B 平台等渠道识别潜在供应商。</w:t>
      </w:r>
    </w:p>
    <w:p>
      <w:r>
        <w:rPr>
          <w:rFonts w:ascii="宋体" w:hAnsi="宋体" w:eastAsia="宋体"/>
          <w:sz w:val="22"/>
        </w:rPr>
        <w:t>Step 3：资质预审 — 营业执照、行业资质、财务报告、ESG 自评。</w:t>
      </w:r>
    </w:p>
    <w:p>
      <w:r>
        <w:rPr>
          <w:rFonts w:ascii="宋体" w:hAnsi="宋体" w:eastAsia="宋体"/>
          <w:sz w:val="22"/>
        </w:rPr>
        <w:t>Step 4：现场考察 — 重点供应商需实地考察生产现场、质量体系。</w:t>
      </w:r>
    </w:p>
    <w:p>
      <w:r>
        <w:rPr>
          <w:rFonts w:ascii="宋体" w:hAnsi="宋体" w:eastAsia="宋体"/>
          <w:sz w:val="22"/>
        </w:rPr>
        <w:t>Step 5：样品验证 — 必要时进行样品送检、小批量试用。</w:t>
      </w:r>
    </w:p>
    <w:p>
      <w:r>
        <w:rPr>
          <w:rFonts w:ascii="宋体" w:hAnsi="宋体" w:eastAsia="宋体"/>
          <w:sz w:val="22"/>
        </w:rPr>
        <w:t>Step 6：商务谈判 — 价格、付款、交付、违约条款。</w:t>
      </w:r>
    </w:p>
    <w:p>
      <w:r>
        <w:rPr>
          <w:rFonts w:ascii="宋体" w:hAnsi="宋体" w:eastAsia="宋体"/>
          <w:sz w:val="22"/>
        </w:rPr>
        <w:t>Step 7：准入审批 — 通过 SRM 系统录入，进入合格供应商名录。</w:t>
      </w:r>
    </w:p>
    <w:p>
      <w:r>
        <w:rPr>
          <w:rFonts w:ascii="宋体" w:hAnsi="宋体" w:eastAsia="宋体"/>
          <w:sz w:val="22"/>
        </w:rPr>
        <w:t>3.2 准入必备资质</w:t>
      </w:r>
    </w:p>
    <w:p>
      <w:r>
        <w:rPr>
          <w:rFonts w:ascii="宋体" w:hAnsi="宋体" w:eastAsia="宋体"/>
          <w:sz w:val="22"/>
        </w:rPr>
        <w:t>• 合法经营资质：三证合一、特种行业许可（如有）</w:t>
      </w:r>
    </w:p>
    <w:p>
      <w:r>
        <w:rPr>
          <w:rFonts w:ascii="宋体" w:hAnsi="宋体" w:eastAsia="宋体"/>
          <w:sz w:val="22"/>
        </w:rPr>
        <w:t>• 质量体系：ISO 9001 / IATF 16949 / ISO 13485（按行业）</w:t>
      </w:r>
    </w:p>
    <w:p>
      <w:r>
        <w:rPr>
          <w:rFonts w:ascii="宋体" w:hAnsi="宋体" w:eastAsia="宋体"/>
          <w:sz w:val="22"/>
        </w:rPr>
        <w:t>• 环境体系：ISO 14001（推荐）</w:t>
      </w:r>
    </w:p>
    <w:p>
      <w:r>
        <w:rPr>
          <w:rFonts w:ascii="宋体" w:hAnsi="宋体" w:eastAsia="宋体"/>
          <w:sz w:val="22"/>
        </w:rPr>
        <w:t>• 财务健康：最近 3 年财报，资产负债率 ≤ 70%</w:t>
      </w:r>
    </w:p>
    <w:p>
      <w:r>
        <w:rPr>
          <w:rFonts w:ascii="宋体" w:hAnsi="宋体" w:eastAsia="宋体"/>
          <w:sz w:val="22"/>
        </w:rPr>
        <w:t>• ESG 自评：通过集团 ESG 问卷</w:t>
      </w:r>
    </w:p>
    <w:p>
      <w:r>
        <w:rPr>
          <w:rFonts w:ascii="宋体" w:hAnsi="宋体" w:eastAsia="宋体"/>
          <w:sz w:val="22"/>
        </w:rPr>
        <w:t>• 反腐败承诺：签署《阳光采购协议》</w:t>
      </w:r>
    </w:p>
    <w:p>
      <w:pPr>
        <w:pStyle w:val="Heading1"/>
      </w:pPr>
      <w:r>
        <w:rPr>
          <w:rFonts w:ascii="黑体" w:hAnsi="黑体" w:eastAsia="黑体"/>
        </w:rPr>
        <w:t>第四章 供应商评估与考核</w:t>
      </w:r>
    </w:p>
    <w:p>
      <w:r>
        <w:rPr>
          <w:rFonts w:ascii="宋体" w:hAnsi="宋体" w:eastAsia="宋体"/>
          <w:sz w:val="22"/>
        </w:rPr>
        <w:t>4.1 评估维度与权重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权重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关键指标</w:t>
            </w:r>
          </w:p>
        </w:tc>
      </w:tr>
      <w:tr>
        <w:tc>
          <w:tcPr>
            <w:tcW w:type="dxa" w:w="2880"/>
          </w:tcPr>
          <w:p>
            <w:r>
              <w:t>质量 Q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来料合格率、过程不良率、售后投诉</w:t>
            </w:r>
          </w:p>
        </w:tc>
      </w:tr>
      <w:tr>
        <w:tc>
          <w:tcPr>
            <w:tcW w:type="dxa" w:w="2880"/>
          </w:tcPr>
          <w:p>
            <w:r>
              <w:t>交付 D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OTD、OTIF、交付柔性</w:t>
            </w:r>
          </w:p>
        </w:tc>
      </w:tr>
      <w:tr>
        <w:tc>
          <w:tcPr>
            <w:tcW w:type="dxa" w:w="2880"/>
          </w:tcPr>
          <w:p>
            <w:r>
              <w:t>成本 C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价格水平、年降幅、TCO</w:t>
            </w:r>
          </w:p>
        </w:tc>
      </w:tr>
      <w:tr>
        <w:tc>
          <w:tcPr>
            <w:tcW w:type="dxa" w:w="2880"/>
          </w:tcPr>
          <w:p>
            <w:r>
              <w:t>服务 S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响应速度、配合度、技术支持</w:t>
            </w:r>
          </w:p>
        </w:tc>
      </w:tr>
      <w:tr>
        <w:tc>
          <w:tcPr>
            <w:tcW w:type="dxa" w:w="2880"/>
          </w:tcPr>
          <w:p>
            <w:r>
              <w:t>可持续 S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ESG 表现、合规性</w:t>
            </w:r>
          </w:p>
        </w:tc>
      </w:tr>
    </w:tbl>
    <w:p>
      <w:r>
        <w:rPr>
          <w:rFonts w:ascii="宋体" w:hAnsi="宋体" w:eastAsia="宋体"/>
          <w:sz w:val="22"/>
        </w:rPr>
        <w:t>4.2 考核结果应用</w:t>
      </w:r>
    </w:p>
    <w:p>
      <w:r>
        <w:rPr>
          <w:rFonts w:ascii="宋体" w:hAnsi="宋体" w:eastAsia="宋体"/>
          <w:sz w:val="22"/>
        </w:rPr>
        <w:t>• A/B 级供应商：纳入年度框架协议，享受订单倾斜。</w:t>
      </w:r>
    </w:p>
    <w:p>
      <w:r>
        <w:rPr>
          <w:rFonts w:ascii="宋体" w:hAnsi="宋体" w:eastAsia="宋体"/>
          <w:sz w:val="22"/>
        </w:rPr>
        <w:t>• C 级供应商：要求 6 个月内整改，未达标降为 D 级。</w:t>
      </w:r>
    </w:p>
    <w:p>
      <w:r>
        <w:rPr>
          <w:rFonts w:ascii="宋体" w:hAnsi="宋体" w:eastAsia="宋体"/>
          <w:sz w:val="22"/>
        </w:rPr>
        <w:t>• D 级供应商：暂停新订单，要求提交整改计划，3 个月未达标启动退出。</w:t>
      </w:r>
    </w:p>
    <w:p>
      <w:r>
        <w:rPr>
          <w:rFonts w:ascii="宋体" w:hAnsi="宋体" w:eastAsia="宋体"/>
          <w:sz w:val="22"/>
        </w:rPr>
        <w:t>• 连续 2 年 A 级：授予"年度战略合作伙伴"称号，纳入联合研发。</w:t>
      </w:r>
    </w:p>
    <w:p>
      <w:pPr>
        <w:pStyle w:val="Heading1"/>
      </w:pPr>
      <w:r>
        <w:rPr>
          <w:rFonts w:ascii="黑体" w:hAnsi="黑体" w:eastAsia="黑体"/>
        </w:rPr>
        <w:t>第五章 供应商关系管理</w:t>
      </w:r>
    </w:p>
    <w:p>
      <w:r>
        <w:rPr>
          <w:rFonts w:ascii="宋体" w:hAnsi="宋体" w:eastAsia="宋体"/>
          <w:sz w:val="22"/>
        </w:rPr>
        <w:t>5.1 关系分级</w:t>
      </w:r>
    </w:p>
    <w:p>
      <w:r>
        <w:rPr>
          <w:rFonts w:ascii="宋体" w:hAnsi="宋体" w:eastAsia="宋体"/>
          <w:sz w:val="22"/>
        </w:rPr>
        <w:t>• 交易型：标准化采购，最低限度沟通。</w:t>
      </w:r>
    </w:p>
    <w:p>
      <w:r>
        <w:rPr>
          <w:rFonts w:ascii="宋体" w:hAnsi="宋体" w:eastAsia="宋体"/>
          <w:sz w:val="22"/>
        </w:rPr>
        <w:t>• 协同型：共享预测、库存、生产计划。</w:t>
      </w:r>
    </w:p>
    <w:p>
      <w:r>
        <w:rPr>
          <w:rFonts w:ascii="宋体" w:hAnsi="宋体" w:eastAsia="宋体"/>
          <w:sz w:val="22"/>
        </w:rPr>
        <w:t>• 联盟型：联合研发、共担成本、共享收益。</w:t>
      </w:r>
    </w:p>
    <w:p>
      <w:r>
        <w:rPr>
          <w:rFonts w:ascii="宋体" w:hAnsi="宋体" w:eastAsia="宋体"/>
          <w:sz w:val="22"/>
        </w:rPr>
        <w:t>5.2 沟通机制</w:t>
      </w:r>
    </w:p>
    <w:p>
      <w:r>
        <w:rPr>
          <w:rFonts w:ascii="宋体" w:hAnsi="宋体" w:eastAsia="宋体"/>
          <w:sz w:val="22"/>
        </w:rPr>
        <w:t>战略供应商：季度高层互访 + 月度业务协同会。</w:t>
      </w:r>
    </w:p>
    <w:p>
      <w:r>
        <w:rPr>
          <w:rFonts w:ascii="宋体" w:hAnsi="宋体" w:eastAsia="宋体"/>
          <w:sz w:val="22"/>
        </w:rPr>
        <w:t>核心供应商：月度运营会议 + 周订单交付跟进。</w:t>
      </w:r>
    </w:p>
    <w:p>
      <w:r>
        <w:rPr>
          <w:rFonts w:ascii="宋体" w:hAnsi="宋体" w:eastAsia="宋体"/>
          <w:sz w:val="22"/>
        </w:rPr>
        <w:t>其他供应商：通过 SRM 系统进行电子化沟通。</w:t>
      </w:r>
    </w:p>
    <w:p>
      <w:pPr>
        <w:pStyle w:val="Heading1"/>
      </w:pPr>
      <w:r>
        <w:rPr>
          <w:rFonts w:ascii="黑体" w:hAnsi="黑体" w:eastAsia="黑体"/>
        </w:rPr>
        <w:t>第六章 供应商退出机制</w:t>
      </w:r>
    </w:p>
    <w:p>
      <w:r>
        <w:rPr>
          <w:rFonts w:ascii="宋体" w:hAnsi="宋体" w:eastAsia="宋体"/>
          <w:sz w:val="22"/>
        </w:rPr>
        <w:t>6.1 主动退出情形</w:t>
      </w:r>
    </w:p>
    <w:p>
      <w:r>
        <w:rPr>
          <w:rFonts w:ascii="宋体" w:hAnsi="宋体" w:eastAsia="宋体"/>
          <w:sz w:val="22"/>
        </w:rPr>
        <w:t>• 供应商主动申请退出：需提前 90 天书面通知，并完成在手订单交付。</w:t>
      </w:r>
    </w:p>
    <w:p>
      <w:r>
        <w:rPr>
          <w:rFonts w:ascii="宋体" w:hAnsi="宋体" w:eastAsia="宋体"/>
          <w:sz w:val="22"/>
        </w:rPr>
        <w:t>• 集团战略调整：需提前 180 天通知，协助订单转移。</w:t>
      </w:r>
    </w:p>
    <w:p>
      <w:r>
        <w:rPr>
          <w:rFonts w:ascii="宋体" w:hAnsi="宋体" w:eastAsia="宋体"/>
          <w:sz w:val="22"/>
        </w:rPr>
        <w:t>6.2 被动退出情形</w:t>
      </w:r>
    </w:p>
    <w:p>
      <w:r>
        <w:rPr>
          <w:rFonts w:ascii="宋体" w:hAnsi="宋体" w:eastAsia="宋体"/>
          <w:sz w:val="22"/>
        </w:rPr>
        <w:t>• 重大质量事故：经认定影响生产或召回的。</w:t>
      </w:r>
    </w:p>
    <w:p>
      <w:r>
        <w:rPr>
          <w:rFonts w:ascii="宋体" w:hAnsi="宋体" w:eastAsia="宋体"/>
          <w:sz w:val="22"/>
        </w:rPr>
        <w:t>• 商业贿赂：经审计、监察确认的。</w:t>
      </w:r>
    </w:p>
    <w:p>
      <w:r>
        <w:rPr>
          <w:rFonts w:ascii="宋体" w:hAnsi="宋体" w:eastAsia="宋体"/>
          <w:sz w:val="22"/>
        </w:rPr>
        <w:t>• 重大合规风险：环保、安全、数据泄露等。</w:t>
      </w:r>
    </w:p>
    <w:p>
      <w:r>
        <w:rPr>
          <w:rFonts w:ascii="宋体" w:hAnsi="宋体" w:eastAsia="宋体"/>
          <w:sz w:val="22"/>
        </w:rPr>
        <w:t>• 履约能力丧失：破产、停业、关键产能不可恢复。</w:t>
      </w:r>
    </w:p>
    <w:p>
      <w:r>
        <w:rPr>
          <w:rFonts w:ascii="宋体" w:hAnsi="宋体" w:eastAsia="宋体"/>
          <w:sz w:val="22"/>
        </w:rPr>
        <w:t>6.3 退出流程</w:t>
      </w:r>
    </w:p>
    <w:p>
      <w:r>
        <w:rPr>
          <w:rFonts w:ascii="宋体" w:hAnsi="宋体" w:eastAsia="宋体"/>
          <w:sz w:val="22"/>
        </w:rPr>
        <w:t>触发 → 审计 → 决策委员会评审 → 通知 → 在手订单收尾 → 资料归档 → 黑名单（如需）。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附录 B 相关表单</w:t>
      </w:r>
    </w:p>
    <w:p>
      <w:r>
        <w:rPr>
          <w:rFonts w:ascii="宋体" w:hAnsi="宋体" w:eastAsia="宋体"/>
          <w:sz w:val="22"/>
        </w:rPr>
        <w:t>B-01《供应商资质预审表》  B-02《现场考察评分表》  B-03《季度绩效考核表》  B-04《年度综合评估表》  B-05《退出审批表》</w:t>
      </w:r>
    </w:p>
    <w:p>
      <w:pPr>
        <w:jc w:val="center"/>
      </w:pPr>
      <w:r>
        <w:rPr>
          <w:sz w:val="16"/>
          <w:color w:val="808080"/>
        </w:rPr>
        <w:t>由 MiniMax AI生成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{"Label":"1","ContentProducer":"MiniMax AI","ProduceID":"user:516404144421060611/node:439133827592621/ts:1788763894410","ReservedCode1":"","ContentPropagator":"MiniMax AI","PropagateID":"user:516404144421060611/node:439133827592621/ts:1788763894410","ReservedCode2":""}</vt:lpwstr>
  </property>
</Properties>
</file>