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采购成本控制实战指南</w:t>
      </w:r>
    </w:p>
    <w:p>
      <w:pPr>
        <w:jc w:val="center"/>
      </w:pPr>
      <w:r>
        <w:rPr>
          <w:i/>
          <w:sz w:val="20"/>
        </w:rPr>
        <w:t>采购管理中心  |  V2.1  |  2024-08 发布</w:t>
      </w:r>
    </w:p>
    <w:p/>
    <w:p>
      <w:pPr>
        <w:pStyle w:val="Heading1"/>
      </w:pPr>
      <w:r>
        <w:rPr>
          <w:rFonts w:ascii="黑体" w:hAnsi="黑体" w:eastAsia="黑体"/>
        </w:rPr>
        <w:t>第一章 采购成本构成分析</w:t>
      </w:r>
    </w:p>
    <w:p>
      <w:r>
        <w:rPr>
          <w:rFonts w:ascii="宋体" w:hAnsi="宋体" w:eastAsia="宋体"/>
          <w:sz w:val="22"/>
        </w:rPr>
        <w:t>1.1 显性成本 vs 隐性成本</w:t>
      </w:r>
    </w:p>
    <w:p>
      <w:r>
        <w:rPr>
          <w:rFonts w:ascii="宋体" w:hAnsi="宋体" w:eastAsia="宋体"/>
          <w:sz w:val="22"/>
        </w:rPr>
        <w:t>采购成本绝非单一价格，而是由"冰山模型"构成的复杂结构。</w:t>
      </w:r>
    </w:p>
    <w:p>
      <w:r>
        <w:rPr>
          <w:rFonts w:ascii="宋体" w:hAnsi="宋体" w:eastAsia="宋体"/>
          <w:sz w:val="22"/>
        </w:rPr>
        <w:t>水面之上（显性）：采购单价、运费、保险、关税。</w:t>
      </w:r>
    </w:p>
    <w:p>
      <w:r>
        <w:rPr>
          <w:rFonts w:ascii="宋体" w:hAnsi="宋体" w:eastAsia="宋体"/>
          <w:sz w:val="22"/>
        </w:rPr>
        <w:t>水面之下（隐性）：</w:t>
      </w:r>
    </w:p>
    <w:p>
      <w:r>
        <w:rPr>
          <w:rFonts w:ascii="宋体" w:hAnsi="宋体" w:eastAsia="宋体"/>
          <w:sz w:val="22"/>
        </w:rPr>
        <w:t>• 库存持有成本：资金占用 + 仓储 + 保险 + 损耗 + 报废，约占库存价值 20-30%/年。</w:t>
      </w:r>
    </w:p>
    <w:p>
      <w:r>
        <w:rPr>
          <w:rFonts w:ascii="宋体" w:hAnsi="宋体" w:eastAsia="宋体"/>
          <w:sz w:val="22"/>
        </w:rPr>
        <w:t>• 缺货成本：停工损失 + 紧急运费 + 客户赔付，约为显性成本的 5-10 倍。</w:t>
      </w:r>
    </w:p>
    <w:p>
      <w:r>
        <w:rPr>
          <w:rFonts w:ascii="宋体" w:hAnsi="宋体" w:eastAsia="宋体"/>
          <w:sz w:val="22"/>
        </w:rPr>
        <w:t>• 质量成本：来料不良 + 返工 + 售后 + 召回，约为采购额的 5-15%。</w:t>
      </w:r>
    </w:p>
    <w:p>
      <w:r>
        <w:rPr>
          <w:rFonts w:ascii="宋体" w:hAnsi="宋体" w:eastAsia="宋体"/>
          <w:sz w:val="22"/>
        </w:rPr>
        <w:t>• 交易成本：招标、合同、催货、对账、付款流程的人工与时间。</w:t>
      </w:r>
    </w:p>
    <w:p>
      <w:r>
        <w:rPr>
          <w:rFonts w:ascii="宋体" w:hAnsi="宋体" w:eastAsia="宋体"/>
          <w:sz w:val="22"/>
        </w:rPr>
        <w:t>• 机会成本：因采购占用的资源无法投入高价值活动。</w:t>
      </w:r>
    </w:p>
    <w:p>
      <w:r>
        <w:rPr>
          <w:rFonts w:ascii="宋体" w:hAnsi="宋体" w:eastAsia="宋体"/>
          <w:sz w:val="22"/>
        </w:rPr>
        <w:t>1.2 TCO 总拥有成本模型</w:t>
      </w:r>
    </w:p>
    <w:p>
      <w:r>
        <w:rPr>
          <w:rFonts w:ascii="宋体" w:hAnsi="宋体" w:eastAsia="宋体"/>
          <w:sz w:val="22"/>
        </w:rPr>
        <w:t>TCO = 采购价格 + 取得成本 + 运营成本 + 处置成本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成本类别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明细项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典型占比</w:t>
            </w:r>
          </w:p>
        </w:tc>
      </w:tr>
      <w:tr>
        <w:tc>
          <w:tcPr>
            <w:tcW w:type="dxa" w:w="2880"/>
          </w:tcPr>
          <w:p>
            <w:r>
              <w:t>采购价格</w:t>
            </w:r>
          </w:p>
        </w:tc>
        <w:tc>
          <w:tcPr>
            <w:tcW w:type="dxa" w:w="2880"/>
          </w:tcPr>
          <w:p>
            <w:r>
              <w:t>物料单价、运输、保险、关税</w:t>
            </w:r>
          </w:p>
        </w:tc>
        <w:tc>
          <w:tcPr>
            <w:tcW w:type="dxa" w:w="2880"/>
          </w:tcPr>
          <w:p>
            <w:r>
              <w:t>60-70%</w:t>
            </w:r>
          </w:p>
        </w:tc>
      </w:tr>
      <w:tr>
        <w:tc>
          <w:tcPr>
            <w:tcW w:type="dxa" w:w="2880"/>
          </w:tcPr>
          <w:p>
            <w:r>
              <w:t>取得成本</w:t>
            </w:r>
          </w:p>
        </w:tc>
        <w:tc>
          <w:tcPr>
            <w:tcW w:type="dxa" w:w="2880"/>
          </w:tcPr>
          <w:p>
            <w:r>
              <w:t>招标、合同、验收入库</w:t>
            </w:r>
          </w:p>
        </w:tc>
        <w:tc>
          <w:tcPr>
            <w:tcW w:type="dxa" w:w="2880"/>
          </w:tcPr>
          <w:p>
            <w:r>
              <w:t>3-5%</w:t>
            </w:r>
          </w:p>
        </w:tc>
      </w:tr>
      <w:tr>
        <w:tc>
          <w:tcPr>
            <w:tcW w:type="dxa" w:w="2880"/>
          </w:tcPr>
          <w:p>
            <w:r>
              <w:t>运营成本</w:t>
            </w:r>
          </w:p>
        </w:tc>
        <w:tc>
          <w:tcPr>
            <w:tcW w:type="dxa" w:w="2880"/>
          </w:tcPr>
          <w:p>
            <w:r>
              <w:t>库存持有、资金占用、质量处理</w:t>
            </w:r>
          </w:p>
        </w:tc>
        <w:tc>
          <w:tcPr>
            <w:tcW w:type="dxa" w:w="2880"/>
          </w:tcPr>
          <w:p>
            <w:r>
              <w:t>20-30%</w:t>
            </w:r>
          </w:p>
        </w:tc>
      </w:tr>
      <w:tr>
        <w:tc>
          <w:tcPr>
            <w:tcW w:type="dxa" w:w="2880"/>
          </w:tcPr>
          <w:p>
            <w:r>
              <w:t>处置成本</w:t>
            </w:r>
          </w:p>
        </w:tc>
        <w:tc>
          <w:tcPr>
            <w:tcW w:type="dxa" w:w="2880"/>
          </w:tcPr>
          <w:p>
            <w:r>
              <w:t>退货、报废、环保处置</w:t>
            </w:r>
          </w:p>
        </w:tc>
        <w:tc>
          <w:tcPr>
            <w:tcW w:type="dxa" w:w="2880"/>
          </w:tcPr>
          <w:p>
            <w:r>
              <w:t>2-5%</w:t>
            </w:r>
          </w:p>
        </w:tc>
      </w:tr>
    </w:tbl>
    <w:p>
      <w:r>
        <w:rPr>
          <w:rFonts w:ascii="宋体" w:hAnsi="宋体" w:eastAsia="宋体"/>
          <w:sz w:val="22"/>
        </w:rPr>
        <w:t>1.3 成本基线建立</w:t>
      </w:r>
    </w:p>
    <w:p>
      <w:r>
        <w:rPr>
          <w:rFonts w:ascii="宋体" w:hAnsi="宋体" w:eastAsia="宋体"/>
          <w:sz w:val="22"/>
        </w:rPr>
        <w:t>建议按 QDCF 框架建立物料成本基线：</w:t>
      </w:r>
    </w:p>
    <w:p>
      <w:r>
        <w:rPr>
          <w:rFonts w:ascii="宋体" w:hAnsi="宋体" w:eastAsia="宋体"/>
          <w:sz w:val="22"/>
        </w:rPr>
        <w:t>Q（Quantity）数量基线 — 基于历史用量 + 预测，确定经济批量。</w:t>
      </w:r>
    </w:p>
    <w:p>
      <w:r>
        <w:rPr>
          <w:rFonts w:ascii="宋体" w:hAnsi="宋体" w:eastAsia="宋体"/>
          <w:sz w:val="22"/>
        </w:rPr>
        <w:t>D（Design）设计基线 — 标准化、模块化、通用化，降低 SKU 复杂度。</w:t>
      </w:r>
    </w:p>
    <w:p>
      <w:r>
        <w:rPr>
          <w:rFonts w:ascii="宋体" w:hAnsi="宋体" w:eastAsia="宋体"/>
          <w:sz w:val="22"/>
        </w:rPr>
        <w:t>C（Cost）成本基线 — 通过 should-cost 模型测算合理成本。</w:t>
      </w:r>
    </w:p>
    <w:p>
      <w:r>
        <w:rPr>
          <w:rFonts w:ascii="宋体" w:hAnsi="宋体" w:eastAsia="宋体"/>
          <w:sz w:val="22"/>
        </w:rPr>
        <w:t>F（Flow）流程基线 — 优化审批、下单、收货流程的隐性时间成本。</w:t>
      </w:r>
    </w:p>
    <w:p>
      <w:pPr>
        <w:pStyle w:val="Heading1"/>
      </w:pPr>
      <w:r>
        <w:rPr>
          <w:rFonts w:ascii="黑体" w:hAnsi="黑体" w:eastAsia="黑体"/>
        </w:rPr>
        <w:t>第二章 成本控制策略</w:t>
      </w:r>
    </w:p>
    <w:p>
      <w:r>
        <w:rPr>
          <w:rFonts w:ascii="宋体" w:hAnsi="宋体" w:eastAsia="宋体"/>
          <w:sz w:val="22"/>
        </w:rPr>
        <w:t>2.1 战略层：设计与规格优化</w:t>
      </w:r>
    </w:p>
    <w:p>
      <w:r>
        <w:rPr>
          <w:rFonts w:ascii="宋体" w:hAnsi="宋体" w:eastAsia="宋体"/>
          <w:sz w:val="22"/>
        </w:rPr>
        <w:t>• VA/VE（价值工程/价值分析）：通过功能分析去除过剩功能，典型可降本 10-30%，例如某车企通过 VA/VE 将某连接器规格合并，降本 18%。</w:t>
      </w:r>
    </w:p>
    <w:p>
      <w:r>
        <w:rPr>
          <w:rFonts w:ascii="宋体" w:hAnsi="宋体" w:eastAsia="宋体"/>
          <w:sz w:val="22"/>
        </w:rPr>
        <w:t>• 标准化：减少物料 SKU 数量，提升规模议价能力。</w:t>
      </w:r>
    </w:p>
    <w:p>
      <w:r>
        <w:rPr>
          <w:rFonts w:ascii="宋体" w:hAnsi="宋体" w:eastAsia="宋体"/>
          <w:sz w:val="22"/>
        </w:rPr>
        <w:t>• 本土化：在保证质量前提下，用国产/本地区替代进口，降低物流与关税成本。</w:t>
      </w:r>
    </w:p>
    <w:p>
      <w:r>
        <w:rPr>
          <w:rFonts w:ascii="宋体" w:hAnsi="宋体" w:eastAsia="宋体"/>
          <w:sz w:val="22"/>
        </w:rPr>
        <w:t>• 平台化采购：多 BU 集中采购，统一规格、合并订单。</w:t>
      </w:r>
    </w:p>
    <w:p>
      <w:r>
        <w:rPr>
          <w:rFonts w:ascii="宋体" w:hAnsi="宋体" w:eastAsia="宋体"/>
          <w:sz w:val="22"/>
        </w:rPr>
        <w:t>2.2 战术层：采购方法与谈判</w:t>
      </w:r>
    </w:p>
    <w:p>
      <w:r>
        <w:rPr>
          <w:rFonts w:ascii="宋体" w:hAnsi="宋体" w:eastAsia="宋体"/>
          <w:sz w:val="22"/>
        </w:rPr>
        <w:t>• 集中采购 vs 分散采购：根据品类特性选择。</w:t>
      </w:r>
    </w:p>
    <w:p>
      <w:r>
        <w:rPr>
          <w:rFonts w:ascii="宋体" w:hAnsi="宋体" w:eastAsia="宋体"/>
          <w:sz w:val="22"/>
        </w:rPr>
        <w:t>• 长期协议 + 价格联动：与战略供应商签订 1-3 年框架，与原料价格指数（LME、WTI）联动，平衡双方风险。</w:t>
      </w:r>
    </w:p>
    <w:p>
      <w:r>
        <w:rPr>
          <w:rFonts w:ascii="宋体" w:hAnsi="宋体" w:eastAsia="宋体"/>
          <w:sz w:val="22"/>
        </w:rPr>
        <w:t>• 阶梯定价：按量级累进折扣，鼓励供应商提升规模。</w:t>
      </w:r>
    </w:p>
    <w:p>
      <w:r>
        <w:rPr>
          <w:rFonts w:ascii="宋体" w:hAnsi="宋体" w:eastAsia="宋体"/>
          <w:sz w:val="22"/>
        </w:rPr>
        <w:t>• 反向拍卖：电子竞价平台，适用于杠杆类物料。</w:t>
      </w:r>
    </w:p>
    <w:p>
      <w:r>
        <w:rPr>
          <w:rFonts w:ascii="宋体" w:hAnsi="宋体" w:eastAsia="宋体"/>
          <w:sz w:val="22"/>
        </w:rPr>
        <w:t>2.3 操作层：流程与数字化</w:t>
      </w:r>
    </w:p>
    <w:p>
      <w:r>
        <w:rPr>
          <w:rFonts w:ascii="宋体" w:hAnsi="宋体" w:eastAsia="宋体"/>
          <w:sz w:val="22"/>
        </w:rPr>
        <w:t>• 采购到付款（P2P）全流程线上化，减少人工干预。</w:t>
      </w:r>
    </w:p>
    <w:p>
      <w:r>
        <w:rPr>
          <w:rFonts w:ascii="宋体" w:hAnsi="宋体" w:eastAsia="宋体"/>
          <w:sz w:val="22"/>
        </w:rPr>
        <w:t>• 三方匹配（3-way match）：订单、收据、发票自动核对。</w:t>
      </w:r>
    </w:p>
    <w:p>
      <w:r>
        <w:rPr>
          <w:rFonts w:ascii="宋体" w:hAnsi="宋体" w:eastAsia="宋体"/>
          <w:sz w:val="22"/>
        </w:rPr>
        <w:t>• 智能补货：基于需求预测 + 安全库存 + EOQ 的自动补货模型。</w:t>
      </w:r>
    </w:p>
    <w:p>
      <w:r>
        <w:rPr>
          <w:rFonts w:ascii="宋体" w:hAnsi="宋体" w:eastAsia="宋体"/>
          <w:sz w:val="22"/>
        </w:rPr>
        <w:t>• 早期供应商参与（ESI）：在新产品开发阶段就引入供应商，从设计源头降本。</w:t>
      </w:r>
    </w:p>
    <w:p>
      <w:pPr>
        <w:pStyle w:val="Heading1"/>
      </w:pPr>
      <w:r>
        <w:rPr>
          <w:rFonts w:ascii="黑体" w:hAnsi="黑体" w:eastAsia="黑体"/>
        </w:rPr>
        <w:t>第三章 招标与议价技巧</w:t>
      </w:r>
    </w:p>
    <w:p>
      <w:r>
        <w:rPr>
          <w:rFonts w:ascii="宋体" w:hAnsi="宋体" w:eastAsia="宋体"/>
          <w:sz w:val="22"/>
        </w:rPr>
        <w:t>3.1 招标类型选择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招标类型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适用场景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优势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风险</w:t>
            </w:r>
          </w:p>
        </w:tc>
      </w:tr>
      <w:tr>
        <w:tc>
          <w:tcPr>
            <w:tcW w:type="dxa" w:w="2160"/>
          </w:tcPr>
          <w:p>
            <w:r>
              <w:t>公开招标</w:t>
            </w:r>
          </w:p>
        </w:tc>
        <w:tc>
          <w:tcPr>
            <w:tcW w:type="dxa" w:w="2160"/>
          </w:tcPr>
          <w:p>
            <w:r>
              <w:t>金额大、供应商充足</w:t>
            </w:r>
          </w:p>
        </w:tc>
        <w:tc>
          <w:tcPr>
            <w:tcW w:type="dxa" w:w="2160"/>
          </w:tcPr>
          <w:p>
            <w:r>
              <w:t>充分竞争</w:t>
            </w:r>
          </w:p>
        </w:tc>
        <w:tc>
          <w:tcPr>
            <w:tcW w:type="dxa" w:w="2160"/>
          </w:tcPr>
          <w:p>
            <w:r>
              <w:t>周期长、可能流标</w:t>
            </w:r>
          </w:p>
        </w:tc>
      </w:tr>
      <w:tr>
        <w:tc>
          <w:tcPr>
            <w:tcW w:type="dxa" w:w="2160"/>
          </w:tcPr>
          <w:p>
            <w:r>
              <w:t>邀请招标</w:t>
            </w:r>
          </w:p>
        </w:tc>
        <w:tc>
          <w:tcPr>
            <w:tcW w:type="dxa" w:w="2160"/>
          </w:tcPr>
          <w:p>
            <w:r>
              <w:t>特定资质/技术要求</w:t>
            </w:r>
          </w:p>
        </w:tc>
        <w:tc>
          <w:tcPr>
            <w:tcW w:type="dxa" w:w="2160"/>
          </w:tcPr>
          <w:p>
            <w:r>
              <w:t>效率高、保密</w:t>
            </w:r>
          </w:p>
        </w:tc>
        <w:tc>
          <w:tcPr>
            <w:tcW w:type="dxa" w:w="2160"/>
          </w:tcPr>
          <w:p>
            <w:r>
              <w:t>易引发质疑</w:t>
            </w:r>
          </w:p>
        </w:tc>
      </w:tr>
      <w:tr>
        <w:tc>
          <w:tcPr>
            <w:tcW w:type="dxa" w:w="2160"/>
          </w:tcPr>
          <w:p>
            <w:r>
              <w:t>竞争性谈判</w:t>
            </w:r>
          </w:p>
        </w:tc>
        <w:tc>
          <w:tcPr>
            <w:tcW w:type="dxa" w:w="2160"/>
          </w:tcPr>
          <w:p>
            <w:r>
              <w:t>复杂定制、技术方案多</w:t>
            </w:r>
          </w:p>
        </w:tc>
        <w:tc>
          <w:tcPr>
            <w:tcW w:type="dxa" w:w="2160"/>
          </w:tcPr>
          <w:p>
            <w:r>
              <w:t>灵活深入</w:t>
            </w:r>
          </w:p>
        </w:tc>
        <w:tc>
          <w:tcPr>
            <w:tcW w:type="dxa" w:w="2160"/>
          </w:tcPr>
          <w:p>
            <w:r>
              <w:t>易留"量身定做"空间</w:t>
            </w:r>
          </w:p>
        </w:tc>
      </w:tr>
      <w:tr>
        <w:tc>
          <w:tcPr>
            <w:tcW w:type="dxa" w:w="2160"/>
          </w:tcPr>
          <w:p>
            <w:r>
              <w:t>单一来源</w:t>
            </w:r>
          </w:p>
        </w:tc>
        <w:tc>
          <w:tcPr>
            <w:tcW w:type="dxa" w:w="2160"/>
          </w:tcPr>
          <w:p>
            <w:r>
              <w:t>专利/独家/紧急</w:t>
            </w:r>
          </w:p>
        </w:tc>
        <w:tc>
          <w:tcPr>
            <w:tcW w:type="dxa" w:w="2160"/>
          </w:tcPr>
          <w:p>
            <w:r>
              <w:t>最快</w:t>
            </w:r>
          </w:p>
        </w:tc>
        <w:tc>
          <w:tcPr>
            <w:tcW w:type="dxa" w:w="2160"/>
          </w:tcPr>
          <w:p>
            <w:r>
              <w:t>需充分论证</w:t>
            </w:r>
          </w:p>
        </w:tc>
      </w:tr>
      <w:tr>
        <w:tc>
          <w:tcPr>
            <w:tcW w:type="dxa" w:w="2160"/>
          </w:tcPr>
          <w:p>
            <w:r>
              <w:t>框架协议</w:t>
            </w:r>
          </w:p>
        </w:tc>
        <w:tc>
          <w:tcPr>
            <w:tcW w:type="dxa" w:w="2160"/>
          </w:tcPr>
          <w:p>
            <w:r>
              <w:t>重复采购、长期合作</w:t>
            </w:r>
          </w:p>
        </w:tc>
        <w:tc>
          <w:tcPr>
            <w:tcW w:type="dxa" w:w="2160"/>
          </w:tcPr>
          <w:p>
            <w:r>
              <w:t>效率高、稳定</w:t>
            </w:r>
          </w:p>
        </w:tc>
        <w:tc>
          <w:tcPr>
            <w:tcW w:type="dxa" w:w="2160"/>
          </w:tcPr>
          <w:p>
            <w:r>
              <w:t>需配套监督机制</w:t>
            </w:r>
          </w:p>
        </w:tc>
      </w:tr>
    </w:tbl>
    <w:p>
      <w:r>
        <w:rPr>
          <w:rFonts w:ascii="宋体" w:hAnsi="宋体" w:eastAsia="宋体"/>
          <w:sz w:val="22"/>
        </w:rPr>
        <w:t>3.2 议价前的情报准备</w:t>
      </w:r>
    </w:p>
    <w:p>
      <w:r>
        <w:rPr>
          <w:rFonts w:ascii="宋体" w:hAnsi="宋体" w:eastAsia="宋体"/>
          <w:sz w:val="22"/>
        </w:rPr>
        <w:t>1) 供应商成本结构：原材料、人工、制造费用、管理费、利润。</w:t>
      </w:r>
    </w:p>
    <w:p>
      <w:r>
        <w:rPr>
          <w:rFonts w:ascii="宋体" w:hAnsi="宋体" w:eastAsia="宋体"/>
          <w:sz w:val="22"/>
        </w:rPr>
        <w:t>2) 行业基准价：通过 should-cost 模型或第三方报告。</w:t>
      </w:r>
    </w:p>
    <w:p>
      <w:r>
        <w:rPr>
          <w:rFonts w:ascii="宋体" w:hAnsi="宋体" w:eastAsia="宋体"/>
          <w:sz w:val="22"/>
        </w:rPr>
        <w:t>3) 供应商痛点：产能利用率、客户结构、资金状况。</w:t>
      </w:r>
    </w:p>
    <w:p>
      <w:r>
        <w:rPr>
          <w:rFonts w:ascii="宋体" w:hAnsi="宋体" w:eastAsia="宋体"/>
          <w:sz w:val="22"/>
        </w:rPr>
        <w:t>4) 替代方案：是否有备选供应商，技术差异如何。</w:t>
      </w:r>
    </w:p>
    <w:p>
      <w:r>
        <w:rPr>
          <w:rFonts w:ascii="宋体" w:hAnsi="宋体" w:eastAsia="宋体"/>
          <w:sz w:val="22"/>
        </w:rPr>
        <w:t>5) 谈判筹码：订单量、付款条件、长期承诺的吸引力。</w:t>
      </w:r>
    </w:p>
    <w:p>
      <w:r>
        <w:rPr>
          <w:rFonts w:ascii="宋体" w:hAnsi="宋体" w:eastAsia="宋体"/>
          <w:sz w:val="22"/>
        </w:rPr>
        <w:t>3.3 议价心理学应用</w:t>
      </w:r>
    </w:p>
    <w:p>
      <w:r>
        <w:rPr>
          <w:rFonts w:ascii="宋体" w:hAnsi="宋体" w:eastAsia="宋体"/>
          <w:sz w:val="22"/>
        </w:rPr>
        <w:t>• 先报价者定锚：尽量让对方先报价，掌握锚定优势。</w:t>
      </w:r>
    </w:p>
    <w:p>
      <w:r>
        <w:rPr>
          <w:rFonts w:ascii="宋体" w:hAnsi="宋体" w:eastAsia="宋体"/>
          <w:sz w:val="22"/>
        </w:rPr>
        <w:t>• 沉默的力量：对方报价后保持沉默，通常会获得让步。</w:t>
      </w:r>
    </w:p>
    <w:p>
      <w:r>
        <w:rPr>
          <w:rFonts w:ascii="宋体" w:hAnsi="宋体" w:eastAsia="宋体"/>
          <w:sz w:val="22"/>
        </w:rPr>
        <w:t>• 拆分报价：要求供应商逐项报价，识别水分。</w:t>
      </w:r>
    </w:p>
    <w:p>
      <w:r>
        <w:rPr>
          <w:rFonts w:ascii="宋体" w:hAnsi="宋体" w:eastAsia="宋体"/>
          <w:sz w:val="22"/>
        </w:rPr>
        <w:t>• "如果……那么……"：将让步与条件挂钩，例如降价 5% 则承诺 2 年长单。</w:t>
      </w:r>
    </w:p>
    <w:p>
      <w:r>
        <w:rPr>
          <w:rFonts w:ascii="宋体" w:hAnsi="宋体" w:eastAsia="宋体"/>
          <w:sz w:val="22"/>
        </w:rPr>
        <w:t>• 多议题捆绑：价格、付款、交付、服务一揽子谈判，避免单点僵局。</w:t>
      </w:r>
    </w:p>
    <w:p>
      <w:pPr>
        <w:pStyle w:val="Heading1"/>
      </w:pPr>
      <w:r>
        <w:rPr>
          <w:rFonts w:ascii="黑体" w:hAnsi="黑体" w:eastAsia="黑体"/>
        </w:rPr>
        <w:t>第四章 TCO 总拥有成本实战</w:t>
      </w:r>
    </w:p>
    <w:p>
      <w:r>
        <w:rPr>
          <w:rFonts w:ascii="宋体" w:hAnsi="宋体" w:eastAsia="宋体"/>
          <w:sz w:val="22"/>
        </w:rPr>
        <w:t>4.1 案例：设备采购 TCO 分析</w:t>
      </w:r>
    </w:p>
    <w:p>
      <w:r>
        <w:rPr>
          <w:rFonts w:ascii="宋体" w:hAnsi="宋体" w:eastAsia="宋体"/>
          <w:sz w:val="22"/>
        </w:rPr>
        <w:t>某工厂采购 1 台注塑机，供应商 A 报价 280 万元，供应商 B 报价 320 万元。表面看 A 便宜，但完整 TCO 对比如下：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成本项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供应商 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供应商 B</w:t>
            </w:r>
          </w:p>
        </w:tc>
      </w:tr>
      <w:tr>
        <w:tc>
          <w:tcPr>
            <w:tcW w:type="dxa" w:w="2880"/>
          </w:tcPr>
          <w:p>
            <w:r>
              <w:t>设备采购价</w:t>
            </w:r>
          </w:p>
        </w:tc>
        <w:tc>
          <w:tcPr>
            <w:tcW w:type="dxa" w:w="2880"/>
          </w:tcPr>
          <w:p>
            <w:r>
              <w:t>280</w:t>
            </w:r>
          </w:p>
        </w:tc>
        <w:tc>
          <w:tcPr>
            <w:tcW w:type="dxa" w:w="2880"/>
          </w:tcPr>
          <w:p>
            <w:r>
              <w:t>320</w:t>
            </w:r>
          </w:p>
        </w:tc>
      </w:tr>
      <w:tr>
        <w:tc>
          <w:tcPr>
            <w:tcW w:type="dxa" w:w="2880"/>
          </w:tcPr>
          <w:p>
            <w:r>
              <w:t>运输安装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能耗（5 年）</w:t>
            </w:r>
          </w:p>
        </w:tc>
        <w:tc>
          <w:tcPr>
            <w:tcW w:type="dxa" w:w="2880"/>
          </w:tcPr>
          <w:p>
            <w:r>
              <w:t>180</w:t>
            </w:r>
          </w:p>
        </w:tc>
        <w:tc>
          <w:tcPr>
            <w:tcW w:type="dxa" w:w="2880"/>
          </w:tcPr>
          <w:p>
            <w:r>
              <w:t>120</w:t>
            </w:r>
          </w:p>
        </w:tc>
      </w:tr>
      <w:tr>
        <w:tc>
          <w:tcPr>
            <w:tcW w:type="dxa" w:w="2880"/>
          </w:tcPr>
          <w:p>
            <w:r>
              <w:t>维护保养（5 年）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备件（5 年）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停机损失（5 年）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残值</w:t>
            </w:r>
          </w:p>
        </w:tc>
        <w:tc>
          <w:tcPr>
            <w:tcW w:type="dxa" w:w="2880"/>
          </w:tcPr>
          <w:p>
            <w:r>
              <w:t>-30</w:t>
            </w:r>
          </w:p>
        </w:tc>
        <w:tc>
          <w:tcPr>
            <w:tcW w:type="dxa" w:w="2880"/>
          </w:tcPr>
          <w:p>
            <w:r>
              <w:t>-50</w:t>
            </w:r>
          </w:p>
        </w:tc>
      </w:tr>
      <w:tr>
        <w:tc>
          <w:tcPr>
            <w:tcW w:type="dxa" w:w="2880"/>
          </w:tcPr>
          <w:p>
            <w:r>
              <w:t>TCO 合计</w:t>
            </w:r>
          </w:p>
        </w:tc>
        <w:tc>
          <w:tcPr>
            <w:tcW w:type="dxa" w:w="2880"/>
          </w:tcPr>
          <w:p>
            <w:r>
              <w:t>585</w:t>
            </w:r>
          </w:p>
        </w:tc>
        <w:tc>
          <w:tcPr>
            <w:tcW w:type="dxa" w:w="2880"/>
          </w:tcPr>
          <w:p>
            <w:r>
              <w:t>463</w:t>
            </w:r>
          </w:p>
        </w:tc>
      </w:tr>
    </w:tbl>
    <w:p>
      <w:r>
        <w:rPr>
          <w:rFonts w:ascii="宋体" w:hAnsi="宋体" w:eastAsia="宋体"/>
          <w:sz w:val="22"/>
        </w:rPr>
        <w:t>结论：供应商 B 表面贵 40 万，但 TCO 反而低 122 万，节能、稳定、备件通用是关键差异。</w:t>
      </w:r>
    </w:p>
    <w:p>
      <w:r>
        <w:rPr>
          <w:rFonts w:ascii="宋体" w:hAnsi="宋体" w:eastAsia="宋体"/>
          <w:sz w:val="22"/>
        </w:rPr>
        <w:t>4.2 隐性成本量化方法</w:t>
      </w:r>
    </w:p>
    <w:p>
      <w:r>
        <w:rPr>
          <w:rFonts w:ascii="宋体" w:hAnsi="宋体" w:eastAsia="宋体"/>
          <w:sz w:val="22"/>
        </w:rPr>
        <w:t>• 库存资金成本：库存价值 × 公司 WACC（一般 8-12%/年）。</w:t>
      </w:r>
    </w:p>
    <w:p>
      <w:r>
        <w:rPr>
          <w:rFonts w:ascii="宋体" w:hAnsi="宋体" w:eastAsia="宋体"/>
          <w:sz w:val="22"/>
        </w:rPr>
        <w:t>• 仓储面积成本：占用面积 × 单位租金。</w:t>
      </w:r>
    </w:p>
    <w:p>
      <w:r>
        <w:rPr>
          <w:rFonts w:ascii="宋体" w:hAnsi="宋体" w:eastAsia="宋体"/>
          <w:sz w:val="22"/>
        </w:rPr>
        <w:t>• 缺货成本：停工损失 = 单位毛利 × 缺货量 + 紧急运费 + 客户违约赔付。</w:t>
      </w:r>
    </w:p>
    <w:p>
      <w:r>
        <w:rPr>
          <w:rFonts w:ascii="宋体" w:hAnsi="宋体" w:eastAsia="宋体"/>
          <w:sz w:val="22"/>
        </w:rPr>
        <w:t>• 质量成本：内部失败 + 外部失败 + 预防 + 鉴定，按 GB/T 13339 测算。</w:t>
      </w:r>
    </w:p>
    <w:p>
      <w:pPr>
        <w:pStyle w:val="Heading1"/>
      </w:pPr>
      <w:r>
        <w:rPr>
          <w:rFonts w:ascii="黑体" w:hAnsi="黑体" w:eastAsia="黑体"/>
        </w:rPr>
        <w:t>第五章 采购成本优化案例集</w:t>
      </w:r>
    </w:p>
    <w:p>
      <w:r>
        <w:rPr>
          <w:rFonts w:ascii="宋体" w:hAnsi="宋体" w:eastAsia="宋体"/>
          <w:sz w:val="22"/>
        </w:rPr>
        <w:t>案例 1：某汽车零部件公司 — 集中采购降本</w:t>
      </w:r>
    </w:p>
    <w:p>
      <w:r>
        <w:rPr>
          <w:rFonts w:ascii="宋体" w:hAnsi="宋体" w:eastAsia="宋体"/>
          <w:sz w:val="22"/>
        </w:rPr>
        <w:t>背景：8 家子公司独立采购，年总采购额 12 亿元，SKU 3200 个。</w:t>
      </w:r>
    </w:p>
    <w:p>
      <w:r>
        <w:rPr>
          <w:rFonts w:ascii="宋体" w:hAnsi="宋体" w:eastAsia="宋体"/>
          <w:sz w:val="22"/>
        </w:rPr>
        <w:t>举措：①建立集团采购中心；②物料标准化、合并规格；③公开招标 + 框架协议。</w:t>
      </w:r>
    </w:p>
    <w:p>
      <w:r>
        <w:rPr>
          <w:rFonts w:ascii="宋体" w:hAnsi="宋体" w:eastAsia="宋体"/>
          <w:sz w:val="22"/>
        </w:rPr>
        <w:t>成果：18 个月内综合降本 8.5%，节约资金 1.02 亿元，SKU 减少 22%。</w:t>
      </w:r>
    </w:p>
    <w:p>
      <w:r>
        <w:rPr>
          <w:rFonts w:ascii="宋体" w:hAnsi="宋体" w:eastAsia="宋体"/>
          <w:sz w:val="22"/>
        </w:rPr>
        <w:t>案例 2：某电子制造企业 — VA/VE 降本</w:t>
      </w:r>
    </w:p>
    <w:p>
      <w:r>
        <w:rPr>
          <w:rFonts w:ascii="宋体" w:hAnsi="宋体" w:eastAsia="宋体"/>
          <w:sz w:val="22"/>
        </w:rPr>
        <w:t>背景：某 PCB 板采用 4 层板，月用量 50 万片，单价 12 元。</w:t>
      </w:r>
    </w:p>
    <w:p>
      <w:r>
        <w:rPr>
          <w:rFonts w:ascii="宋体" w:hAnsi="宋体" w:eastAsia="宋体"/>
          <w:sz w:val="22"/>
        </w:rPr>
        <w:t>举措：价值工程分析发现 30% 用例只需 2 层板即可满足。</w:t>
      </w:r>
    </w:p>
    <w:p>
      <w:r>
        <w:rPr>
          <w:rFonts w:ascii="宋体" w:hAnsi="宋体" w:eastAsia="宋体"/>
          <w:sz w:val="22"/>
        </w:rPr>
        <w:t>成果：分层设计后整体平均成本下降 3.2 元/片，年节约 1920 万元。</w:t>
      </w:r>
    </w:p>
    <w:p>
      <w:r>
        <w:rPr>
          <w:rFonts w:ascii="宋体" w:hAnsi="宋体" w:eastAsia="宋体"/>
          <w:sz w:val="22"/>
        </w:rPr>
        <w:t>案例 3：某快消品集团 — 数字化采购</w:t>
      </w:r>
    </w:p>
    <w:p>
      <w:r>
        <w:rPr>
          <w:rFonts w:ascii="宋体" w:hAnsi="宋体" w:eastAsia="宋体"/>
          <w:sz w:val="22"/>
        </w:rPr>
        <w:t>背景：分散采购，订单处理人工多，付款流程长。</w:t>
      </w:r>
    </w:p>
    <w:p>
      <w:r>
        <w:rPr>
          <w:rFonts w:ascii="宋体" w:hAnsi="宋体" w:eastAsia="宋体"/>
          <w:sz w:val="22"/>
        </w:rPr>
        <w:t>举措：上线 Coupa/SAP Ariba 电子采购系统，OCR 发票、智能审批。</w:t>
      </w:r>
    </w:p>
    <w:p>
      <w:r>
        <w:rPr>
          <w:rFonts w:ascii="宋体" w:hAnsi="宋体" w:eastAsia="宋体"/>
          <w:sz w:val="22"/>
        </w:rPr>
        <w:t>成果：订单处理时间从 3 天降至 4 小时，采购人员效率提升 40%，年节约交易成本 800 万。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附录 C 实用工具</w:t>
      </w:r>
    </w:p>
    <w:p>
      <w:r>
        <w:rPr>
          <w:rFonts w:ascii="宋体" w:hAnsi="宋体" w:eastAsia="宋体"/>
          <w:sz w:val="22"/>
        </w:rPr>
        <w:t>C-01《should-cost 测算模板》  C-02《TCO 对比表》  C-03《议价剧本 checklist》  C-04《VA/VE 评分表》  C-05《年度降本目标跟踪表》</w:t>
      </w:r>
    </w:p>
    <w:p>
      <w:pPr>
        <w:jc w:val="center"/>
      </w:pPr>
      <w:r>
        <w:rPr>
          <w:sz w:val="16"/>
          <w:color w:val="808080"/>
        </w:rPr>
        <w:t>由 MiniMax AI生成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{"Label":"1","ContentProducer":"MiniMax AI","ProduceID":"user:516404144421060611/node:439133827592621/ts:1788763894419","ReservedCode1":"","ContentPropagator":"MiniMax AI","PropagateID":"user:516404144421060611/node:439133827592621/ts:1788763894419","ReservedCode2":""}</vt:lpwstr>
  </property>
</Properties>
</file>