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b/>
          <w:sz w:val="36"/>
        </w:rPr>
        <w:t>供应链归档巡检报告26W23</w:t>
      </w:r>
    </w:p>
    <w:p>
      <w:r>
        <w:rPr>
          <w:color w:val="6B7688"/>
          <w:sz w:val="18"/>
        </w:rPr>
        <w:t>生成时间：上周五 17:49    资产编号：archive-check-26w23</w:t>
      </w:r>
    </w:p>
    <w:p>
      <w:r>
        <w:t>汇总 W23 项目资料完整度、合同附件、履约凭证缺口、重复文件和建议归档目录。</w:t>
      </w:r>
    </w:p>
    <w:p>
      <w:pPr>
        <w:pStyle w:val="Heading1"/>
      </w:pPr>
      <w:r>
        <w:t>归档完成项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1FF"/>
          </w:tcPr>
          <w:p>
            <w:r>
              <w:rPr>
                <w:b/>
              </w:rPr>
              <w:t>资料类型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完整度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484"/>
            <w:vAlign w:val="center"/>
          </w:tcPr>
          <w:p>
            <w:r>
              <w:t>项目资料</w:t>
            </w:r>
          </w:p>
        </w:tc>
        <w:tc>
          <w:tcPr>
            <w:tcW w:type="dxa" w:w="2484"/>
            <w:vAlign w:val="center"/>
          </w:tcPr>
          <w:p>
            <w:r>
              <w:t>91%</w:t>
            </w:r>
          </w:p>
        </w:tc>
        <w:tc>
          <w:tcPr>
            <w:tcW w:type="dxa" w:w="2484"/>
            <w:vAlign w:val="center"/>
          </w:tcPr>
          <w:p>
            <w:r>
              <w:t>核心项目已匹配目录和标签</w:t>
            </w:r>
          </w:p>
        </w:tc>
        <w:tc>
          <w:tcPr>
            <w:tcW w:type="dxa" w:w="2484"/>
            <w:vAlign w:val="center"/>
          </w:tcPr>
          <w:p>
            <w:r>
              <w:t>正常</w:t>
            </w:r>
          </w:p>
        </w:tc>
      </w:tr>
      <w:tr>
        <w:tc>
          <w:tcPr>
            <w:tcW w:type="dxa" w:w="2484"/>
            <w:vAlign w:val="center"/>
          </w:tcPr>
          <w:p>
            <w:r>
              <w:t>合同附件</w:t>
            </w:r>
          </w:p>
        </w:tc>
        <w:tc>
          <w:tcPr>
            <w:tcW w:type="dxa" w:w="2484"/>
            <w:vAlign w:val="center"/>
          </w:tcPr>
          <w:p>
            <w:r>
              <w:t>84%</w:t>
            </w:r>
          </w:p>
        </w:tc>
        <w:tc>
          <w:tcPr>
            <w:tcW w:type="dxa" w:w="2484"/>
            <w:vAlign w:val="center"/>
          </w:tcPr>
          <w:p>
            <w:r>
              <w:t>4 份附件缺少最终签章版</w:t>
            </w:r>
          </w:p>
        </w:tc>
        <w:tc>
          <w:tcPr>
            <w:tcW w:type="dxa" w:w="2484"/>
            <w:vAlign w:val="center"/>
          </w:tcPr>
          <w:p>
            <w:r>
              <w:t>待补</w:t>
            </w:r>
          </w:p>
        </w:tc>
      </w:tr>
      <w:tr>
        <w:tc>
          <w:tcPr>
            <w:tcW w:type="dxa" w:w="2484"/>
            <w:vAlign w:val="center"/>
          </w:tcPr>
          <w:p>
            <w:r>
              <w:t>履约凭证</w:t>
            </w:r>
          </w:p>
        </w:tc>
        <w:tc>
          <w:tcPr>
            <w:tcW w:type="dxa" w:w="2484"/>
            <w:vAlign w:val="center"/>
          </w:tcPr>
          <w:p>
            <w:r>
              <w:t>79%</w:t>
            </w:r>
          </w:p>
        </w:tc>
        <w:tc>
          <w:tcPr>
            <w:tcW w:type="dxa" w:w="2484"/>
            <w:vAlign w:val="center"/>
          </w:tcPr>
          <w:p>
            <w:r>
              <w:t>部分港口入库凭证未归档</w:t>
            </w:r>
          </w:p>
        </w:tc>
        <w:tc>
          <w:tcPr>
            <w:tcW w:type="dxa" w:w="2484"/>
            <w:vAlign w:val="center"/>
          </w:tcPr>
          <w:p>
            <w:r>
              <w:t>待补</w:t>
            </w:r>
          </w:p>
        </w:tc>
      </w:tr>
      <w:tr>
        <w:tc>
          <w:tcPr>
            <w:tcW w:type="dxa" w:w="2484"/>
            <w:vAlign w:val="center"/>
          </w:tcPr>
          <w:p>
            <w:r>
              <w:t>历史报告</w:t>
            </w:r>
          </w:p>
        </w:tc>
        <w:tc>
          <w:tcPr>
            <w:tcW w:type="dxa" w:w="2484"/>
            <w:vAlign w:val="center"/>
          </w:tcPr>
          <w:p>
            <w:r>
              <w:t>96%</w:t>
            </w:r>
          </w:p>
        </w:tc>
        <w:tc>
          <w:tcPr>
            <w:tcW w:type="dxa" w:w="2484"/>
            <w:vAlign w:val="center"/>
          </w:tcPr>
          <w:p>
            <w:r>
              <w:t>4 份重复报告已合并入口</w:t>
            </w:r>
          </w:p>
        </w:tc>
        <w:tc>
          <w:tcPr>
            <w:tcW w:type="dxa" w:w="2484"/>
            <w:vAlign w:val="center"/>
          </w:tcPr>
          <w:p>
            <w:r>
              <w:t>已处理</w:t>
            </w:r>
          </w:p>
        </w:tc>
      </w:tr>
      <w:tr>
        <w:tc>
          <w:tcPr>
            <w:tcW w:type="dxa" w:w="2484"/>
            <w:vAlign w:val="center"/>
          </w:tcPr>
          <w:p>
            <w:r>
              <w:t>知识卡片</w:t>
            </w:r>
          </w:p>
        </w:tc>
        <w:tc>
          <w:tcPr>
            <w:tcW w:type="dxa" w:w="2484"/>
            <w:vAlign w:val="center"/>
          </w:tcPr>
          <w:p>
            <w:r>
              <w:t>89%</w:t>
            </w:r>
          </w:p>
        </w:tc>
        <w:tc>
          <w:tcPr>
            <w:tcW w:type="dxa" w:w="2484"/>
            <w:vAlign w:val="center"/>
          </w:tcPr>
          <w:p>
            <w:r>
              <w:t>过期观点已标记复核</w:t>
            </w:r>
          </w:p>
        </w:tc>
        <w:tc>
          <w:tcPr>
            <w:tcW w:type="dxa" w:w="2484"/>
            <w:vAlign w:val="center"/>
          </w:tcPr>
          <w:p>
            <w:r>
              <w:t>需更新</w:t>
            </w:r>
          </w:p>
        </w:tc>
      </w:tr>
    </w:tbl>
    <w:p/>
    <w:p>
      <w:pPr>
        <w:pStyle w:val="Heading1"/>
      </w:pPr>
      <w:r>
        <w:t>缺失与重复项</w:t>
      </w:r>
    </w:p>
    <w:p>
      <w:pPr>
        <w:pStyle w:val="ListBullet"/>
      </w:pPr>
      <w:r>
        <w:t>26W23 识别缺失资料 6 项，重复资料 4 项。</w:t>
      </w:r>
    </w:p>
    <w:p>
      <w:pPr>
        <w:pStyle w:val="ListBullet"/>
      </w:pPr>
      <w:r>
        <w:t>缺失项优先补充合同最终版、履约凭证和审批附件。</w:t>
      </w:r>
    </w:p>
    <w:p>
      <w:pPr>
        <w:pStyle w:val="ListBullet"/>
      </w:pPr>
      <w:r>
        <w:t>外部链接需要补充访问时间和来源说明，避免后续失效无法追溯。</w:t>
      </w:r>
    </w:p>
    <w:p>
      <w:pPr>
        <w:pStyle w:val="Heading1"/>
      </w:pPr>
      <w:r>
        <w:t>建议目录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1FF"/>
          </w:tcPr>
          <w:p>
            <w:r>
              <w:rPr>
                <w:b/>
              </w:rPr>
              <w:t>目录</w:t>
            </w:r>
          </w:p>
        </w:tc>
        <w:tc>
          <w:tcPr>
            <w:tcW w:type="dxa" w:w="3312"/>
            <w:shd w:fill="EAF1FF"/>
          </w:tcPr>
          <w:p>
            <w:r>
              <w:rPr>
                <w:b/>
              </w:rPr>
              <w:t>归档内容</w:t>
            </w:r>
          </w:p>
        </w:tc>
        <w:tc>
          <w:tcPr>
            <w:tcW w:type="dxa" w:w="3312"/>
            <w:shd w:fill="EAF1FF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3312"/>
            <w:vAlign w:val="center"/>
          </w:tcPr>
          <w:p>
            <w:r>
              <w:t>项目资料/合同附件</w:t>
            </w:r>
          </w:p>
        </w:tc>
        <w:tc>
          <w:tcPr>
            <w:tcW w:type="dxa" w:w="3312"/>
            <w:vAlign w:val="center"/>
          </w:tcPr>
          <w:p>
            <w:r>
              <w:t>合同正文、补充协议、签章页</w:t>
            </w:r>
          </w:p>
        </w:tc>
        <w:tc>
          <w:tcPr>
            <w:tcW w:type="dxa" w:w="3312"/>
            <w:vAlign w:val="center"/>
          </w:tcPr>
          <w:p>
            <w:r>
              <w:t>缺失项置顶</w:t>
            </w:r>
          </w:p>
        </w:tc>
      </w:tr>
      <w:tr>
        <w:tc>
          <w:tcPr>
            <w:tcW w:type="dxa" w:w="3312"/>
            <w:vAlign w:val="center"/>
          </w:tcPr>
          <w:p>
            <w:r>
              <w:t>履约凭证/港口</w:t>
            </w:r>
          </w:p>
        </w:tc>
        <w:tc>
          <w:tcPr>
            <w:tcW w:type="dxa" w:w="3312"/>
            <w:vAlign w:val="center"/>
          </w:tcPr>
          <w:p>
            <w:r>
              <w:t>入库单、卸港凭证、船期记录</w:t>
            </w:r>
          </w:p>
        </w:tc>
        <w:tc>
          <w:tcPr>
            <w:tcW w:type="dxa" w:w="3312"/>
            <w:vAlign w:val="center"/>
          </w:tcPr>
          <w:p>
            <w:r>
              <w:t>按周归档</w:t>
            </w:r>
          </w:p>
        </w:tc>
      </w:tr>
      <w:tr>
        <w:tc>
          <w:tcPr>
            <w:tcW w:type="dxa" w:w="3312"/>
            <w:vAlign w:val="center"/>
          </w:tcPr>
          <w:p>
            <w:r>
              <w:t>知识沉淀/客户沟通</w:t>
            </w:r>
          </w:p>
        </w:tc>
        <w:tc>
          <w:tcPr>
            <w:tcW w:type="dxa" w:w="3312"/>
            <w:vAlign w:val="center"/>
          </w:tcPr>
          <w:p>
            <w:r>
              <w:t>纪要摘要、知识卡片、复用片段</w:t>
            </w:r>
          </w:p>
        </w:tc>
        <w:tc>
          <w:tcPr>
            <w:tcW w:type="dxa" w:w="3312"/>
            <w:vAlign w:val="center"/>
          </w:tcPr>
          <w:p>
            <w:r>
              <w:t>标注来源</w:t>
            </w:r>
          </w:p>
        </w:tc>
      </w:tr>
    </w:tbl>
    <w:p/>
    <w:p>
      <w:pPr>
        <w:pStyle w:val="Heading1"/>
      </w:pPr>
      <w:r>
        <w:t>复核说明</w:t>
      </w:r>
    </w:p>
    <w:p>
      <w:r>
        <w:t>本文件为定时任务自动产出的业务资料，已按任务配置整理来源、结论和待处理动作。涉及外部数据、名单命中或时效性判断的内容，需在正式业务执行前由责任人复核。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6FE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