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大宗商品经营简报2603</w:t>
      </w:r>
    </w:p>
    <w:p>
      <w:r>
        <w:rPr>
          <w:color w:val="6B7688"/>
          <w:sz w:val="18"/>
        </w:rPr>
        <w:t>生成时间：3月8日 16:43    资产编号：commodity-brief-2603</w:t>
      </w:r>
    </w:p>
    <w:p>
      <w:r>
        <w:t>整理 3 月铁矿与粮食行情、美元指数变化、供应链风险事件和资金侧压力，形成月度经营草稿。</w:t>
      </w:r>
    </w:p>
    <w:p>
      <w:pPr>
        <w:pStyle w:val="Heading1"/>
      </w:pPr>
      <w:r>
        <w:t>本月关键变化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本月变化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经营影响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下月关注</w:t>
            </w:r>
          </w:p>
        </w:tc>
      </w:tr>
      <w:tr>
        <w:tc>
          <w:tcPr>
            <w:tcW w:type="dxa" w:w="2484"/>
            <w:vAlign w:val="center"/>
          </w:tcPr>
          <w:p>
            <w:r>
              <w:t>铁矿石价格</w:t>
            </w:r>
          </w:p>
        </w:tc>
        <w:tc>
          <w:tcPr>
            <w:tcW w:type="dxa" w:w="2484"/>
            <w:vAlign w:val="center"/>
          </w:tcPr>
          <w:p>
            <w:r>
              <w:t>+1.4%</w:t>
            </w:r>
          </w:p>
        </w:tc>
        <w:tc>
          <w:tcPr>
            <w:tcW w:type="dxa" w:w="2484"/>
            <w:vAlign w:val="center"/>
          </w:tcPr>
          <w:p>
            <w:r>
              <w:t>采购节奏需与港口履约同步</w:t>
            </w:r>
          </w:p>
        </w:tc>
        <w:tc>
          <w:tcPr>
            <w:tcW w:type="dxa" w:w="2484"/>
            <w:vAlign w:val="center"/>
          </w:tcPr>
          <w:p>
            <w:r>
              <w:t>跟踪主港库存与船期偏差</w:t>
            </w:r>
          </w:p>
        </w:tc>
      </w:tr>
      <w:tr>
        <w:tc>
          <w:tcPr>
            <w:tcW w:type="dxa" w:w="2484"/>
            <w:vAlign w:val="center"/>
          </w:tcPr>
          <w:p>
            <w:r>
              <w:t>粮食品类报价</w:t>
            </w:r>
          </w:p>
        </w:tc>
        <w:tc>
          <w:tcPr>
            <w:tcW w:type="dxa" w:w="2484"/>
            <w:vAlign w:val="center"/>
          </w:tcPr>
          <w:p>
            <w:r>
              <w:t>+0.8%</w:t>
            </w:r>
          </w:p>
        </w:tc>
        <w:tc>
          <w:tcPr>
            <w:tcW w:type="dxa" w:w="2484"/>
            <w:vAlign w:val="center"/>
          </w:tcPr>
          <w:p>
            <w:r>
              <w:t>分批锁定安全库存，避免单次暴露</w:t>
            </w:r>
          </w:p>
        </w:tc>
        <w:tc>
          <w:tcPr>
            <w:tcW w:type="dxa" w:w="2484"/>
            <w:vAlign w:val="center"/>
          </w:tcPr>
          <w:p>
            <w:r>
              <w:t>关注天气扰动和进口排船</w:t>
            </w:r>
          </w:p>
        </w:tc>
      </w:tr>
      <w:tr>
        <w:tc>
          <w:tcPr>
            <w:tcW w:type="dxa" w:w="2484"/>
            <w:vAlign w:val="center"/>
          </w:tcPr>
          <w:p>
            <w:r>
              <w:t>美元指数</w:t>
            </w:r>
          </w:p>
        </w:tc>
        <w:tc>
          <w:tcPr>
            <w:tcW w:type="dxa" w:w="2484"/>
            <w:vAlign w:val="center"/>
          </w:tcPr>
          <w:p>
            <w:r>
              <w:t>+1.1%</w:t>
            </w:r>
          </w:p>
        </w:tc>
        <w:tc>
          <w:tcPr>
            <w:tcW w:type="dxa" w:w="2484"/>
            <w:vAlign w:val="center"/>
          </w:tcPr>
          <w:p>
            <w:r>
              <w:t>结算与保证金敏感度上升</w:t>
            </w:r>
          </w:p>
        </w:tc>
        <w:tc>
          <w:tcPr>
            <w:tcW w:type="dxa" w:w="2484"/>
            <w:vAlign w:val="center"/>
          </w:tcPr>
          <w:p>
            <w:r>
              <w:t>跟踪授信余量</w:t>
            </w:r>
          </w:p>
        </w:tc>
      </w:tr>
      <w:tr>
        <w:tc>
          <w:tcPr>
            <w:tcW w:type="dxa" w:w="2484"/>
            <w:vAlign w:val="center"/>
          </w:tcPr>
          <w:p>
            <w:r>
              <w:t>经营库存</w:t>
            </w:r>
          </w:p>
        </w:tc>
        <w:tc>
          <w:tcPr>
            <w:tcW w:type="dxa" w:w="2484"/>
            <w:vAlign w:val="center"/>
          </w:tcPr>
          <w:p>
            <w:r>
              <w:t>+2.5%</w:t>
            </w:r>
          </w:p>
        </w:tc>
        <w:tc>
          <w:tcPr>
            <w:tcW w:type="dxa" w:w="2484"/>
            <w:vAlign w:val="center"/>
          </w:tcPr>
          <w:p>
            <w:r>
              <w:t>资金占用和仓储成本需进入报价</w:t>
            </w:r>
          </w:p>
        </w:tc>
        <w:tc>
          <w:tcPr>
            <w:tcW w:type="dxa" w:w="2484"/>
            <w:vAlign w:val="center"/>
          </w:tcPr>
          <w:p>
            <w:r>
              <w:t>复核慢周转批次</w:t>
            </w:r>
          </w:p>
        </w:tc>
      </w:tr>
    </w:tbl>
    <w:p/>
    <w:p>
      <w:pPr>
        <w:pStyle w:val="Heading1"/>
      </w:pPr>
      <w:r>
        <w:t>管理层摘要</w:t>
      </w:r>
    </w:p>
    <w:p>
      <w:pPr>
        <w:pStyle w:val="ListBullet"/>
      </w:pPr>
      <w:r>
        <w:t>3月经营口径建议保留“价格-库存-履约-资金”四线联动，不单独解释价格波动。</w:t>
      </w:r>
    </w:p>
    <w:p>
      <w:pPr>
        <w:pStyle w:val="ListBullet"/>
      </w:pPr>
      <w:r>
        <w:t>主要风险为：美元指数走强推高结算敏感度。相关结论需在下月月报中追踪闭环。</w:t>
      </w:r>
    </w:p>
    <w:p>
      <w:pPr>
        <w:pStyle w:val="ListBullet"/>
      </w:pPr>
      <w:r>
        <w:t>对重点客户交付承诺进行分层复核，区分已确认延迟、待复核延迟和可正常履约批次。</w:t>
      </w:r>
    </w:p>
    <w:p>
      <w:pPr>
        <w:pStyle w:val="Heading1"/>
      </w:pPr>
      <w:r>
        <w:t>下月跟踪清单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312"/>
            <w:vAlign w:val="center"/>
          </w:tcPr>
          <w:p>
            <w:r>
              <w:t>更新重点客户交付窗口</w:t>
            </w:r>
          </w:p>
        </w:tc>
        <w:tc>
          <w:tcPr>
            <w:tcW w:type="dxa" w:w="3312"/>
            <w:vAlign w:val="center"/>
          </w:tcPr>
          <w:p>
            <w:r>
              <w:t>运营/业务</w:t>
            </w:r>
          </w:p>
        </w:tc>
        <w:tc>
          <w:tcPr>
            <w:tcW w:type="dxa" w:w="3312"/>
            <w:vAlign w:val="center"/>
          </w:tcPr>
          <w:p>
            <w:r>
              <w:t>高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复核资金占用阈值</w:t>
            </w:r>
          </w:p>
        </w:tc>
        <w:tc>
          <w:tcPr>
            <w:tcW w:type="dxa" w:w="3312"/>
            <w:vAlign w:val="center"/>
          </w:tcPr>
          <w:p>
            <w:r>
              <w:t>财务/风控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  <w:tr>
        <w:tc>
          <w:tcPr>
            <w:tcW w:type="dxa" w:w="3312"/>
            <w:vAlign w:val="center"/>
          </w:tcPr>
          <w:p>
            <w:r>
              <w:t>补齐异常事件证据来源</w:t>
            </w:r>
          </w:p>
        </w:tc>
        <w:tc>
          <w:tcPr>
            <w:tcW w:type="dxa" w:w="3312"/>
            <w:vAlign w:val="center"/>
          </w:tcPr>
          <w:p>
            <w:r>
              <w:t>资料运营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