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6"/>
        </w:rPr>
        <w:t>大宗商品经营简报2605</w:t>
      </w:r>
    </w:p>
    <w:p>
      <w:r>
        <w:rPr>
          <w:color w:val="6B7688"/>
          <w:sz w:val="18"/>
        </w:rPr>
        <w:t>生成时间：5月8日 16:45    资产编号：commodity-brief-2605</w:t>
      </w:r>
    </w:p>
    <w:p>
      <w:r>
        <w:t>汇总 5 月铁矿石、粮食、美元指数、港口履约、库存和资金占用变化，输出管理层摘要、经营影响和下月关注清单。</w:t>
      </w:r>
    </w:p>
    <w:p>
      <w:pPr>
        <w:pStyle w:val="Heading1"/>
      </w:pPr>
      <w:r>
        <w:t>本月关键变化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1FF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本月变化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经营影响</w:t>
            </w:r>
          </w:p>
        </w:tc>
        <w:tc>
          <w:tcPr>
            <w:tcW w:type="dxa" w:w="2484"/>
            <w:shd w:fill="EAF1FF"/>
          </w:tcPr>
          <w:p>
            <w:r>
              <w:rPr>
                <w:b/>
              </w:rPr>
              <w:t>下月关注</w:t>
            </w:r>
          </w:p>
        </w:tc>
      </w:tr>
      <w:tr>
        <w:tc>
          <w:tcPr>
            <w:tcW w:type="dxa" w:w="2484"/>
            <w:vAlign w:val="center"/>
          </w:tcPr>
          <w:p>
            <w:r>
              <w:t>铁矿石价格</w:t>
            </w:r>
          </w:p>
        </w:tc>
        <w:tc>
          <w:tcPr>
            <w:tcW w:type="dxa" w:w="2484"/>
            <w:vAlign w:val="center"/>
          </w:tcPr>
          <w:p>
            <w:r>
              <w:t>+3.8%</w:t>
            </w:r>
          </w:p>
        </w:tc>
        <w:tc>
          <w:tcPr>
            <w:tcW w:type="dxa" w:w="2484"/>
            <w:vAlign w:val="center"/>
          </w:tcPr>
          <w:p>
            <w:r>
              <w:t>采购节奏需与港口履约同步</w:t>
            </w:r>
          </w:p>
        </w:tc>
        <w:tc>
          <w:tcPr>
            <w:tcW w:type="dxa" w:w="2484"/>
            <w:vAlign w:val="center"/>
          </w:tcPr>
          <w:p>
            <w:r>
              <w:t>跟踪主港库存与船期偏差</w:t>
            </w:r>
          </w:p>
        </w:tc>
      </w:tr>
      <w:tr>
        <w:tc>
          <w:tcPr>
            <w:tcW w:type="dxa" w:w="2484"/>
            <w:vAlign w:val="center"/>
          </w:tcPr>
          <w:p>
            <w:r>
              <w:t>粮食品类报价</w:t>
            </w:r>
          </w:p>
        </w:tc>
        <w:tc>
          <w:tcPr>
            <w:tcW w:type="dxa" w:w="2484"/>
            <w:vAlign w:val="center"/>
          </w:tcPr>
          <w:p>
            <w:r>
              <w:t>-1.6%</w:t>
            </w:r>
          </w:p>
        </w:tc>
        <w:tc>
          <w:tcPr>
            <w:tcW w:type="dxa" w:w="2484"/>
            <w:vAlign w:val="center"/>
          </w:tcPr>
          <w:p>
            <w:r>
              <w:t>分批锁定安全库存，避免单次暴露</w:t>
            </w:r>
          </w:p>
        </w:tc>
        <w:tc>
          <w:tcPr>
            <w:tcW w:type="dxa" w:w="2484"/>
            <w:vAlign w:val="center"/>
          </w:tcPr>
          <w:p>
            <w:r>
              <w:t>关注天气扰动和进口排船</w:t>
            </w:r>
          </w:p>
        </w:tc>
      </w:tr>
      <w:tr>
        <w:tc>
          <w:tcPr>
            <w:tcW w:type="dxa" w:w="2484"/>
            <w:vAlign w:val="center"/>
          </w:tcPr>
          <w:p>
            <w:r>
              <w:t>美元指数</w:t>
            </w:r>
          </w:p>
        </w:tc>
        <w:tc>
          <w:tcPr>
            <w:tcW w:type="dxa" w:w="2484"/>
            <w:vAlign w:val="center"/>
          </w:tcPr>
          <w:p>
            <w:r>
              <w:t>+0.9%</w:t>
            </w:r>
          </w:p>
        </w:tc>
        <w:tc>
          <w:tcPr>
            <w:tcW w:type="dxa" w:w="2484"/>
            <w:vAlign w:val="center"/>
          </w:tcPr>
          <w:p>
            <w:r>
              <w:t>结算与保证金敏感度上升</w:t>
            </w:r>
          </w:p>
        </w:tc>
        <w:tc>
          <w:tcPr>
            <w:tcW w:type="dxa" w:w="2484"/>
            <w:vAlign w:val="center"/>
          </w:tcPr>
          <w:p>
            <w:r>
              <w:t>跟踪授信余量</w:t>
            </w:r>
          </w:p>
        </w:tc>
      </w:tr>
      <w:tr>
        <w:tc>
          <w:tcPr>
            <w:tcW w:type="dxa" w:w="2484"/>
            <w:vAlign w:val="center"/>
          </w:tcPr>
          <w:p>
            <w:r>
              <w:t>经营库存</w:t>
            </w:r>
          </w:p>
        </w:tc>
        <w:tc>
          <w:tcPr>
            <w:tcW w:type="dxa" w:w="2484"/>
            <w:vAlign w:val="center"/>
          </w:tcPr>
          <w:p>
            <w:r>
              <w:t>+4.2%</w:t>
            </w:r>
          </w:p>
        </w:tc>
        <w:tc>
          <w:tcPr>
            <w:tcW w:type="dxa" w:w="2484"/>
            <w:vAlign w:val="center"/>
          </w:tcPr>
          <w:p>
            <w:r>
              <w:t>资金占用和仓储成本需进入报价</w:t>
            </w:r>
          </w:p>
        </w:tc>
        <w:tc>
          <w:tcPr>
            <w:tcW w:type="dxa" w:w="2484"/>
            <w:vAlign w:val="center"/>
          </w:tcPr>
          <w:p>
            <w:r>
              <w:t>复核慢周转批次</w:t>
            </w:r>
          </w:p>
        </w:tc>
      </w:tr>
    </w:tbl>
    <w:p/>
    <w:p>
      <w:pPr>
        <w:pStyle w:val="Heading1"/>
      </w:pPr>
      <w:r>
        <w:t>管理层摘要</w:t>
      </w:r>
    </w:p>
    <w:p>
      <w:pPr>
        <w:pStyle w:val="ListBullet"/>
      </w:pPr>
      <w:r>
        <w:t>5月经营口径建议保留“价格-库存-履约-资金”四线联动，不单独解释价格波动。</w:t>
      </w:r>
    </w:p>
    <w:p>
      <w:pPr>
        <w:pStyle w:val="ListBullet"/>
      </w:pPr>
      <w:r>
        <w:t>主要风险为：港口排队船舶增加，资金占用上行。相关结论需在下月月报中追踪闭环。</w:t>
      </w:r>
    </w:p>
    <w:p>
      <w:pPr>
        <w:pStyle w:val="ListBullet"/>
      </w:pPr>
      <w:r>
        <w:t>对重点客户交付承诺进行分层复核，区分已确认延迟、待复核延迟和可正常履约批次。</w:t>
      </w:r>
    </w:p>
    <w:p>
      <w:pPr>
        <w:pStyle w:val="Heading1"/>
      </w:pPr>
      <w:r>
        <w:t>下月跟踪清单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1FF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3312"/>
            <w:shd w:fill="EAF1FF"/>
          </w:tcPr>
          <w:p>
            <w:r>
              <w:rPr>
                <w:b/>
              </w:rPr>
              <w:t>责任方向</w:t>
            </w:r>
          </w:p>
        </w:tc>
        <w:tc>
          <w:tcPr>
            <w:tcW w:type="dxa" w:w="3312"/>
            <w:shd w:fill="EAF1FF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3312"/>
            <w:vAlign w:val="center"/>
          </w:tcPr>
          <w:p>
            <w:r>
              <w:t>更新重点客户交付窗口</w:t>
            </w:r>
          </w:p>
        </w:tc>
        <w:tc>
          <w:tcPr>
            <w:tcW w:type="dxa" w:w="3312"/>
            <w:vAlign w:val="center"/>
          </w:tcPr>
          <w:p>
            <w:r>
              <w:t>运营/业务</w:t>
            </w:r>
          </w:p>
        </w:tc>
        <w:tc>
          <w:tcPr>
            <w:tcW w:type="dxa" w:w="3312"/>
            <w:vAlign w:val="center"/>
          </w:tcPr>
          <w:p>
            <w:r>
              <w:t>高</w:t>
            </w:r>
          </w:p>
        </w:tc>
      </w:tr>
      <w:tr>
        <w:tc>
          <w:tcPr>
            <w:tcW w:type="dxa" w:w="3312"/>
            <w:vAlign w:val="center"/>
          </w:tcPr>
          <w:p>
            <w:r>
              <w:t>复核资金占用阈值</w:t>
            </w:r>
          </w:p>
        </w:tc>
        <w:tc>
          <w:tcPr>
            <w:tcW w:type="dxa" w:w="3312"/>
            <w:vAlign w:val="center"/>
          </w:tcPr>
          <w:p>
            <w:r>
              <w:t>财务/风控</w:t>
            </w:r>
          </w:p>
        </w:tc>
        <w:tc>
          <w:tcPr>
            <w:tcW w:type="dxa" w:w="3312"/>
            <w:vAlign w:val="center"/>
          </w:tcPr>
          <w:p>
            <w:r>
              <w:t>中</w:t>
            </w:r>
          </w:p>
        </w:tc>
      </w:tr>
      <w:tr>
        <w:tc>
          <w:tcPr>
            <w:tcW w:type="dxa" w:w="3312"/>
            <w:vAlign w:val="center"/>
          </w:tcPr>
          <w:p>
            <w:r>
              <w:t>补齐异常事件证据来源</w:t>
            </w:r>
          </w:p>
        </w:tc>
        <w:tc>
          <w:tcPr>
            <w:tcW w:type="dxa" w:w="3312"/>
            <w:vAlign w:val="center"/>
          </w:tcPr>
          <w:p>
            <w:r>
              <w:t>资料运营</w:t>
            </w:r>
          </w:p>
        </w:tc>
        <w:tc>
          <w:tcPr>
            <w:tcW w:type="dxa" w:w="3312"/>
            <w:vAlign w:val="center"/>
          </w:tcPr>
          <w:p>
            <w:r>
              <w:t>中</w:t>
            </w:r>
          </w:p>
        </w:tc>
      </w:tr>
    </w:tbl>
    <w:p/>
    <w:p>
      <w:pPr>
        <w:pStyle w:val="Heading1"/>
      </w:pPr>
      <w:r>
        <w:t>复核说明</w:t>
      </w:r>
    </w:p>
    <w:p>
      <w:r>
        <w:t>本文件为定时任务自动产出的业务资料，已按任务配置整理来源、结论和待处理动作。涉及外部数据、名单命中或时效性判断的内容，需在正式业务执行前由责任人复核。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6FE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