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Microsoft YaHei"/>
          <w:b/>
          <w:sz w:val="36"/>
        </w:rPr>
        <w:t>外部链接时效复核260528</w:t>
      </w:r>
    </w:p>
    <w:p>
      <w:r>
        <w:rPr>
          <w:color w:val="6B7688"/>
          <w:sz w:val="18"/>
        </w:rPr>
        <w:t>生成时间：5月28日 09:20    资产编号：resource-index-260528</w:t>
      </w:r>
    </w:p>
    <w:p>
      <w:r>
        <w:t>核对行情网站、政策公告和客户资料链接的可访问状态，区分可复用来源、待更新来源和失效入口。</w:t>
      </w:r>
    </w:p>
    <w:p>
      <w:pPr>
        <w:pStyle w:val="Heading1"/>
      </w:pPr>
      <w:r>
        <w:t>主题索引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AF1FF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987"/>
            <w:shd w:fill="EAF1FF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1987"/>
            <w:shd w:fill="EAF1FF"/>
          </w:tcPr>
          <w:p>
            <w:r>
              <w:rPr>
                <w:b/>
              </w:rPr>
              <w:t>来源资料</w:t>
            </w:r>
          </w:p>
        </w:tc>
        <w:tc>
          <w:tcPr>
            <w:tcW w:type="dxa" w:w="1987"/>
            <w:shd w:fill="EAF1FF"/>
          </w:tcPr>
          <w:p>
            <w:r>
              <w:rPr>
                <w:b/>
              </w:rPr>
              <w:t>可复用内容</w:t>
            </w:r>
          </w:p>
        </w:tc>
        <w:tc>
          <w:tcPr>
            <w:tcW w:type="dxa" w:w="1987"/>
            <w:shd w:fill="EAF1FF"/>
          </w:tcPr>
          <w:p>
            <w:r>
              <w:rPr>
                <w:b/>
              </w:rPr>
              <w:t>复核状态</w:t>
            </w:r>
          </w:p>
        </w:tc>
      </w:tr>
      <w:tr>
        <w:tc>
          <w:tcPr>
            <w:tcW w:type="dxa" w:w="1987"/>
            <w:vAlign w:val="center"/>
          </w:tcPr>
          <w:p>
            <w:r>
              <w:t>R6-01</w:t>
            </w:r>
          </w:p>
        </w:tc>
        <w:tc>
          <w:tcPr>
            <w:tcW w:type="dxa" w:w="1987"/>
            <w:vAlign w:val="center"/>
          </w:tcPr>
          <w:p>
            <w:r>
              <w:t>铁矿供应链履约</w:t>
            </w:r>
          </w:p>
        </w:tc>
        <w:tc>
          <w:tcPr>
            <w:tcW w:type="dxa" w:w="1987"/>
            <w:vAlign w:val="center"/>
          </w:tcPr>
          <w:p>
            <w:r>
              <w:t>客户纪要 260528、港口日报、合同附件</w:t>
            </w:r>
          </w:p>
        </w:tc>
        <w:tc>
          <w:tcPr>
            <w:tcW w:type="dxa" w:w="1987"/>
            <w:vAlign w:val="center"/>
          </w:tcPr>
          <w:p>
            <w:r>
              <w:t>交付窗口、港口异常解释、风险提示语</w:t>
            </w:r>
          </w:p>
        </w:tc>
        <w:tc>
          <w:tcPr>
            <w:tcW w:type="dxa" w:w="1987"/>
            <w:vAlign w:val="center"/>
          </w:tcPr>
          <w:p>
            <w:r>
              <w:t>需复核最新船期</w:t>
            </w:r>
          </w:p>
        </w:tc>
      </w:tr>
      <w:tr>
        <w:tc>
          <w:tcPr>
            <w:tcW w:type="dxa" w:w="1987"/>
            <w:vAlign w:val="center"/>
          </w:tcPr>
          <w:p>
            <w:r>
              <w:t>R6-02</w:t>
            </w:r>
          </w:p>
        </w:tc>
        <w:tc>
          <w:tcPr>
            <w:tcW w:type="dxa" w:w="1987"/>
            <w:vAlign w:val="center"/>
          </w:tcPr>
          <w:p>
            <w:r>
              <w:t>粮食品类采购</w:t>
            </w:r>
          </w:p>
        </w:tc>
        <w:tc>
          <w:tcPr>
            <w:tcW w:type="dxa" w:w="1987"/>
            <w:vAlign w:val="center"/>
          </w:tcPr>
          <w:p>
            <w:r>
              <w:t>行情周报、进口到港表、历史问答</w:t>
            </w:r>
          </w:p>
        </w:tc>
        <w:tc>
          <w:tcPr>
            <w:tcW w:type="dxa" w:w="1987"/>
            <w:vAlign w:val="center"/>
          </w:tcPr>
          <w:p>
            <w:r>
              <w:t>采购口径、价格驱动因素、供应安全垫判断</w:t>
            </w:r>
          </w:p>
        </w:tc>
        <w:tc>
          <w:tcPr>
            <w:tcW w:type="dxa" w:w="1987"/>
            <w:vAlign w:val="center"/>
          </w:tcPr>
          <w:p>
            <w:r>
              <w:t>可复用</w:t>
            </w:r>
          </w:p>
        </w:tc>
      </w:tr>
      <w:tr>
        <w:tc>
          <w:tcPr>
            <w:tcW w:type="dxa" w:w="1987"/>
            <w:vAlign w:val="center"/>
          </w:tcPr>
          <w:p>
            <w:r>
              <w:t>R6-03</w:t>
            </w:r>
          </w:p>
        </w:tc>
        <w:tc>
          <w:tcPr>
            <w:tcW w:type="dxa" w:w="1987"/>
            <w:vAlign w:val="center"/>
          </w:tcPr>
          <w:p>
            <w:r>
              <w:t>客户沟通沉淀</w:t>
            </w:r>
          </w:p>
        </w:tc>
        <w:tc>
          <w:tcPr>
            <w:tcW w:type="dxa" w:w="1987"/>
            <w:vAlign w:val="center"/>
          </w:tcPr>
          <w:p>
            <w:r>
              <w:t>会议纪要、邮件附件、跟进清单</w:t>
            </w:r>
          </w:p>
        </w:tc>
        <w:tc>
          <w:tcPr>
            <w:tcW w:type="dxa" w:w="1987"/>
            <w:vAlign w:val="center"/>
          </w:tcPr>
          <w:p>
            <w:r>
              <w:t>客户关注点、待补材料、责任动作</w:t>
            </w:r>
          </w:p>
        </w:tc>
        <w:tc>
          <w:tcPr>
            <w:tcW w:type="dxa" w:w="1987"/>
            <w:vAlign w:val="center"/>
          </w:tcPr>
          <w:p>
            <w:r>
              <w:t>需补来源</w:t>
            </w:r>
          </w:p>
        </w:tc>
      </w:tr>
      <w:tr>
        <w:tc>
          <w:tcPr>
            <w:tcW w:type="dxa" w:w="1987"/>
            <w:vAlign w:val="center"/>
          </w:tcPr>
          <w:p>
            <w:r>
              <w:t>R6-04</w:t>
            </w:r>
          </w:p>
        </w:tc>
        <w:tc>
          <w:tcPr>
            <w:tcW w:type="dxa" w:w="1987"/>
            <w:vAlign w:val="center"/>
          </w:tcPr>
          <w:p>
            <w:r>
              <w:t>业务模板</w:t>
            </w:r>
          </w:p>
        </w:tc>
        <w:tc>
          <w:tcPr>
            <w:tcW w:type="dxa" w:w="1987"/>
            <w:vAlign w:val="center"/>
          </w:tcPr>
          <w:p>
            <w:r>
              <w:t>历史报告、审批附件、外部链接</w:t>
            </w:r>
          </w:p>
        </w:tc>
        <w:tc>
          <w:tcPr>
            <w:tcW w:type="dxa" w:w="1987"/>
            <w:vAlign w:val="center"/>
          </w:tcPr>
          <w:p>
            <w:r>
              <w:t>报告结构、证据表达、归档标签</w:t>
            </w:r>
          </w:p>
        </w:tc>
        <w:tc>
          <w:tcPr>
            <w:tcW w:type="dxa" w:w="1987"/>
            <w:vAlign w:val="center"/>
          </w:tcPr>
          <w:p>
            <w:r>
              <w:t>可复用</w:t>
            </w:r>
          </w:p>
        </w:tc>
      </w:tr>
    </w:tbl>
    <w:p/>
    <w:p>
      <w:pPr>
        <w:pStyle w:val="Heading1"/>
      </w:pPr>
      <w:r>
        <w:t>核心结论</w:t>
      </w:r>
    </w:p>
    <w:p>
      <w:pPr>
        <w:pStyle w:val="ListBullet"/>
      </w:pPr>
      <w:r>
        <w:t>外部链接时效复核覆盖 4 类主题，港口履约与客户沟通资料的复用价值最高。</w:t>
      </w:r>
    </w:p>
    <w:p>
      <w:pPr>
        <w:pStyle w:val="ListBullet"/>
      </w:pPr>
      <w:r>
        <w:t>涉及价格判断的结论均保留原始报告时间，避免把历史观点当作最新事实。</w:t>
      </w:r>
    </w:p>
    <w:p>
      <w:pPr>
        <w:pStyle w:val="ListBullet"/>
      </w:pPr>
      <w:r>
        <w:t>本轮发现 2 个外部链接需要更新访问状态，1 个合同附件缺少最终归档入口。</w:t>
      </w:r>
    </w:p>
    <w:p>
      <w:pPr>
        <w:pStyle w:val="Heading1"/>
      </w:pPr>
      <w:r>
        <w:t>归档/标签建议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1FF"/>
          </w:tcPr>
          <w:p>
            <w:r>
              <w:rPr>
                <w:b/>
              </w:rPr>
              <w:t>建议动作</w:t>
            </w:r>
          </w:p>
        </w:tc>
        <w:tc>
          <w:tcPr>
            <w:tcW w:type="dxa" w:w="2484"/>
            <w:shd w:fill="EAF1FF"/>
          </w:tcPr>
          <w:p>
            <w:r>
              <w:rPr>
                <w:b/>
              </w:rPr>
              <w:t>责任方向</w:t>
            </w:r>
          </w:p>
        </w:tc>
        <w:tc>
          <w:tcPr>
            <w:tcW w:type="dxa" w:w="2484"/>
            <w:shd w:fill="EAF1FF"/>
          </w:tcPr>
          <w:p>
            <w:r>
              <w:rPr>
                <w:b/>
              </w:rPr>
              <w:t>建议期限</w:t>
            </w:r>
          </w:p>
        </w:tc>
        <w:tc>
          <w:tcPr>
            <w:tcW w:type="dxa" w:w="2484"/>
            <w:shd w:fill="EAF1FF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484"/>
            <w:vAlign w:val="center"/>
          </w:tcPr>
          <w:p>
            <w:r>
              <w:t>补齐合同附件入口</w:t>
            </w:r>
          </w:p>
        </w:tc>
        <w:tc>
          <w:tcPr>
            <w:tcW w:type="dxa" w:w="2484"/>
            <w:vAlign w:val="center"/>
          </w:tcPr>
          <w:p>
            <w:r>
              <w:t>项目资料维护人</w:t>
            </w:r>
          </w:p>
        </w:tc>
        <w:tc>
          <w:tcPr>
            <w:tcW w:type="dxa" w:w="2484"/>
            <w:vAlign w:val="center"/>
          </w:tcPr>
          <w:p>
            <w:r>
              <w:t>本周内</w:t>
            </w:r>
          </w:p>
        </w:tc>
        <w:tc>
          <w:tcPr>
            <w:tcW w:type="dxa" w:w="2484"/>
            <w:vAlign w:val="center"/>
          </w:tcPr>
          <w:p>
            <w:r>
              <w:t>高</w:t>
            </w:r>
          </w:p>
        </w:tc>
      </w:tr>
      <w:tr>
        <w:tc>
          <w:tcPr>
            <w:tcW w:type="dxa" w:w="2484"/>
            <w:vAlign w:val="center"/>
          </w:tcPr>
          <w:p>
            <w:r>
              <w:t>合并重复客户问答</w:t>
            </w:r>
          </w:p>
        </w:tc>
        <w:tc>
          <w:tcPr>
            <w:tcW w:type="dxa" w:w="2484"/>
            <w:vAlign w:val="center"/>
          </w:tcPr>
          <w:p>
            <w:r>
              <w:t>知识库维护人</w:t>
            </w:r>
          </w:p>
        </w:tc>
        <w:tc>
          <w:tcPr>
            <w:tcW w:type="dxa" w:w="2484"/>
            <w:vAlign w:val="center"/>
          </w:tcPr>
          <w:p>
            <w:r>
              <w:t>下次任务前</w:t>
            </w:r>
          </w:p>
        </w:tc>
        <w:tc>
          <w:tcPr>
            <w:tcW w:type="dxa" w:w="2484"/>
            <w:vAlign w:val="center"/>
          </w:tcPr>
          <w:p>
            <w:r>
              <w:t>中</w:t>
            </w:r>
          </w:p>
        </w:tc>
      </w:tr>
      <w:tr>
        <w:tc>
          <w:tcPr>
            <w:tcW w:type="dxa" w:w="2484"/>
            <w:vAlign w:val="center"/>
          </w:tcPr>
          <w:p>
            <w:r>
              <w:t>复核外部行情链接</w:t>
            </w:r>
          </w:p>
        </w:tc>
        <w:tc>
          <w:tcPr>
            <w:tcW w:type="dxa" w:w="2484"/>
            <w:vAlign w:val="center"/>
          </w:tcPr>
          <w:p>
            <w:r>
              <w:t>资料运营</w:t>
            </w:r>
          </w:p>
        </w:tc>
        <w:tc>
          <w:tcPr>
            <w:tcW w:type="dxa" w:w="2484"/>
            <w:vAlign w:val="center"/>
          </w:tcPr>
          <w:p>
            <w:r>
              <w:t>48 小时内</w:t>
            </w:r>
          </w:p>
        </w:tc>
        <w:tc>
          <w:tcPr>
            <w:tcW w:type="dxa" w:w="2484"/>
            <w:vAlign w:val="center"/>
          </w:tcPr>
          <w:p>
            <w:r>
              <w:t>中</w:t>
            </w:r>
          </w:p>
        </w:tc>
      </w:tr>
    </w:tbl>
    <w:p/>
    <w:p>
      <w:pPr>
        <w:pStyle w:val="Heading1"/>
      </w:pPr>
      <w:r>
        <w:t>复核说明</w:t>
      </w:r>
    </w:p>
    <w:p>
      <w:r>
        <w:t>本文件为定时任务自动产出的业务资料，已按任务配置整理来源、结论和待处理动作。涉及外部数据、名单命中或时效性判断的内容，需在正式业务执行前由责任人复核。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F6FE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