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大型粮食贸易商战略库存合作方案</w:t>
      </w:r>
    </w:p>
    <w:p>
      <w:pPr>
        <w:pStyle w:val="Heading2"/>
        <w:pStyle w:val="MdHeading2"/>
      </w:pPr>
      <w:r>
        <w:t xml:space="preserve">摘要</w:t>
      </w:r>
    </w:p>
    <w:p>
      <w:pPr>
        <w:pStyle w:val="MdParagraph"/>
      </w:pPr>
      <w:r>
        <w:t xml:space="preserve">本方案旨在为大型粮食贸易商设计一套结合场外期权应用的战略库存合作模式，以实现抓住价格低点、建立“安全垫”的目标。通过专业的资金安排、高效的仓储物流以及严谨的风险控制机制，本方案力求在平衡风险与收益的基础上，为贸易商提供稳健的战略库存管理解决方案。</w:t>
      </w:r>
    </w:p>
    <w:p>
      <w:pPr>
        <w:pStyle w:val="MdSpace"/>
        <w:spacing w:before="0" w:after="60"/>
      </w:pPr>
    </w:p>
    <w:p>
      <w:pPr>
        <w:pStyle w:val="Heading2"/>
        <w:pStyle w:val="MdHeading2"/>
      </w:pPr>
      <w:r>
        <w:t xml:space="preserve">1. 引言</w:t>
      </w:r>
    </w:p>
    <w:p>
      <w:pPr>
        <w:pStyle w:val="MdParagraph"/>
      </w:pPr>
      <w:r>
        <w:t xml:space="preserve">在全球经济不确定性增加、地缘政治冲突频发以及气候变化影响日益显著的背景下，大宗商品市场，尤其是粮食市场，面临着前所未有的价格波动和供应中断风险。对于大型粮食贸易商而言，建立战略库存已不仅仅是简单的套期保值或追求价差收益的手段，更成为保障供应链稳定、应对未来不确定性的重要“安全垫”。本合作方案将深入探讨如何通过我司在场外期权领域的专业经验，为贸易商量身定制一套综合性的战略库存管理方案，以期在复杂的市场环境中实现风险可控下的收益最大化。</w:t>
      </w:r>
    </w:p>
    <w:p>
      <w:pPr>
        <w:pStyle w:val="MdSpace"/>
        <w:spacing w:before="0" w:after="60"/>
      </w:pPr>
    </w:p>
    <w:p>
      <w:pPr>
        <w:pStyle w:val="Heading2"/>
        <w:pStyle w:val="MdHeading2"/>
      </w:pPr>
      <w:r>
        <w:t xml:space="preserve">2. 背景与需求分析</w:t>
      </w:r>
    </w:p>
    <w:p>
      <w:pPr>
        <w:pStyle w:val="Heading3"/>
        <w:pStyle w:val="MdHeading3"/>
      </w:pPr>
      <w:r>
        <w:t xml:space="preserve">2.1 市场环境分析</w:t>
      </w:r>
    </w:p>
    <w:p>
      <w:pPr>
        <w:pStyle w:val="MdParagraph"/>
      </w:pPr>
      <w:r>
        <w:t xml:space="preserve">当前粮食市场受多种因素影响，包括但不限于：</w:t>
      </w:r>
    </w:p>
    <w:p>
      <w:pPr>
        <w:pStyle w:val="MdListItem"/>
        <w:numPr>
          <w:ilvl w:val="0"/>
          <w:numId w:val="2"/>
        </w:numPr>
      </w:pPr>
      <w:r>
        <w:rPr>
          <w:rStyle w:val="MdStrong"/>
          <w:b/>
          <w:bCs/>
        </w:rPr>
        <w:t xml:space="preserve">地缘政治紧张</w:t>
      </w:r>
      <w:r>
        <w:t xml:space="preserve">：主要粮食出口国和进口国之间的关系变化，可能导致贸易流中断。</w:t>
      </w:r>
    </w:p>
    <w:p>
      <w:pPr>
        <w:pStyle w:val="MdListItem"/>
        <w:numPr>
          <w:ilvl w:val="0"/>
          <w:numId w:val="2"/>
        </w:numPr>
      </w:pPr>
      <w:r>
        <w:rPr>
          <w:rStyle w:val="MdStrong"/>
          <w:b/>
          <w:bCs/>
        </w:rPr>
        <w:t xml:space="preserve">极端天气事件</w:t>
      </w:r>
      <w:r>
        <w:t xml:space="preserve">：干旱、洪涝等极端天气频发，对粮食产量和质量造成冲击。</w:t>
      </w:r>
    </w:p>
    <w:p>
      <w:pPr>
        <w:pStyle w:val="MdListItem"/>
        <w:numPr>
          <w:ilvl w:val="0"/>
          <w:numId w:val="2"/>
        </w:numPr>
      </w:pPr>
      <w:r>
        <w:rPr>
          <w:rStyle w:val="MdStrong"/>
          <w:b/>
          <w:bCs/>
        </w:rPr>
        <w:t xml:space="preserve">全球通胀压力</w:t>
      </w:r>
      <w:r>
        <w:t xml:space="preserve">：货币超发和需求复苏共同推动大宗商品价格上涨。</w:t>
      </w:r>
    </w:p>
    <w:p>
      <w:pPr>
        <w:pStyle w:val="MdListItem"/>
        <w:numPr>
          <w:ilvl w:val="0"/>
          <w:numId w:val="2"/>
        </w:numPr>
      </w:pPr>
      <w:r>
        <w:rPr>
          <w:rStyle w:val="MdStrong"/>
          <w:b/>
          <w:bCs/>
        </w:rPr>
        <w:t xml:space="preserve">供应链韧性挑战</w:t>
      </w:r>
      <w:r>
        <w:t xml:space="preserve">：疫情等突发事件暴露出全球供应链的脆弱性。</w:t>
      </w:r>
    </w:p>
    <w:p>
      <w:pPr>
        <w:pStyle w:val="MdSpace"/>
        <w:spacing w:before="0" w:after="60"/>
      </w:pPr>
    </w:p>
    <w:p>
      <w:pPr>
        <w:pStyle w:val="Heading3"/>
        <w:pStyle w:val="MdHeading3"/>
      </w:pPr>
      <w:r>
        <w:t xml:space="preserve">2.2 贸易商核心需求</w:t>
      </w:r>
    </w:p>
    <w:p>
      <w:pPr>
        <w:pStyle w:val="MdParagraph"/>
      </w:pPr>
      <w:r>
        <w:t xml:space="preserve">该大型粮食贸易商的核心需求在于：</w:t>
      </w:r>
    </w:p>
    <w:p>
      <w:pPr>
        <w:pStyle w:val="MdListItem"/>
        <w:numPr>
          <w:ilvl w:val="0"/>
          <w:numId w:val="2"/>
        </w:numPr>
      </w:pPr>
      <w:r>
        <w:rPr>
          <w:rStyle w:val="MdStrong"/>
          <w:b/>
          <w:bCs/>
        </w:rPr>
        <w:t xml:space="preserve">抓住价格低点</w:t>
      </w:r>
      <w:r>
        <w:t xml:space="preserve">：在市场出现有利价格时，有效建立大规模库存。</w:t>
      </w:r>
    </w:p>
    <w:p>
      <w:pPr>
        <w:pStyle w:val="MdListItem"/>
        <w:numPr>
          <w:ilvl w:val="0"/>
          <w:numId w:val="2"/>
        </w:numPr>
      </w:pPr>
      <w:r>
        <w:rPr>
          <w:rStyle w:val="MdStrong"/>
          <w:b/>
          <w:bCs/>
        </w:rPr>
        <w:t xml:space="preserve">建立“安全垫”</w:t>
      </w:r>
      <w:r>
        <w:t xml:space="preserve">：确保在供应中断或价格暴涨时，拥有充足的缓冲能力。</w:t>
      </w:r>
    </w:p>
    <w:p>
      <w:pPr>
        <w:pStyle w:val="MdListItem"/>
        <w:numPr>
          <w:ilvl w:val="0"/>
          <w:numId w:val="2"/>
        </w:numPr>
      </w:pPr>
      <w:r>
        <w:rPr>
          <w:rStyle w:val="MdStrong"/>
          <w:b/>
          <w:bCs/>
        </w:rPr>
        <w:t xml:space="preserve">平衡风险与收益</w:t>
      </w:r>
      <w:r>
        <w:t xml:space="preserve">：在实现战略目标的同时，有效控制资金占用和价格波动风险。</w:t>
      </w:r>
    </w:p>
    <w:p>
      <w:pPr>
        <w:pStyle w:val="MdListItem"/>
        <w:numPr>
          <w:ilvl w:val="0"/>
          <w:numId w:val="2"/>
        </w:numPr>
      </w:pPr>
      <w:r>
        <w:rPr>
          <w:rStyle w:val="MdStrong"/>
          <w:b/>
          <w:bCs/>
        </w:rPr>
        <w:t xml:space="preserve">专业化运作</w:t>
      </w:r>
      <w:r>
        <w:t xml:space="preserve">：需要专业的资金、仓储物流及风险控制方案支持。</w:t>
      </w:r>
    </w:p>
    <w:p>
      <w:pPr>
        <w:pStyle w:val="MdSpace"/>
        <w:spacing w:before="0" w:after="60"/>
      </w:pPr>
    </w:p>
    <w:p>
      <w:pPr>
        <w:pStyle w:val="Heading2"/>
        <w:pStyle w:val="MdHeading2"/>
      </w:pPr>
      <w:r>
        <w:t xml:space="preserve">3. 场外期权在战略库存中的应用</w:t>
      </w:r>
    </w:p>
    <w:p>
      <w:pPr>
        <w:pStyle w:val="MdParagraph"/>
      </w:pPr>
      <w:r>
        <w:t xml:space="preserve">场外期权因其高度定制化的特点，在大宗商品战略库存管理中具有独特的优势。本方案将利用期权组合策略，优化建仓成本并管理价格波动风险。</w:t>
      </w:r>
    </w:p>
    <w:p>
      <w:pPr>
        <w:pStyle w:val="MdSpace"/>
        <w:spacing w:before="0" w:after="60"/>
      </w:pPr>
    </w:p>
    <w:p>
      <w:pPr>
        <w:pStyle w:val="Heading3"/>
        <w:pStyle w:val="MdHeading3"/>
      </w:pPr>
      <w:r>
        <w:t xml:space="preserve">3.1 成本优化策略：领口式期权组合（Collar Strategy）</w:t>
      </w:r>
    </w:p>
    <w:p>
      <w:pPr>
        <w:pStyle w:val="MdParagraph"/>
      </w:pPr>
      <w:r>
        <w:t xml:space="preserve">针对贸易商在价格低点建仓的需求，我们建议采用</w:t>
      </w:r>
      <w:r>
        <w:rPr>
          <w:rStyle w:val="MdStrong"/>
          <w:b/>
          <w:bCs/>
        </w:rPr>
        <w:t xml:space="preserve">领口式期权组合</w:t>
      </w:r>
      <w:r>
        <w:t xml:space="preserve">。该策略通过</w:t>
      </w:r>
      <w:r>
        <w:rPr>
          <w:rStyle w:val="MdStrong"/>
          <w:b/>
          <w:bCs/>
        </w:rPr>
        <w:t xml:space="preserve">买入看跌期权</w:t>
      </w:r>
      <w:r>
        <w:t xml:space="preserve">为库存设定价格下限，同时</w:t>
      </w:r>
      <w:r>
        <w:rPr>
          <w:rStyle w:val="MdStrong"/>
          <w:b/>
          <w:bCs/>
        </w:rPr>
        <w:t xml:space="preserve">卖出看涨期权</w:t>
      </w:r>
      <w:r>
        <w:t xml:space="preserve">以补贴看跌期权的权利金成本，从而在锁定风险的同时，降低整体建仓成本。</w:t>
      </w:r>
    </w:p>
    <w:p>
      <w:pPr>
        <w:pStyle w:val="MdSpace"/>
        <w:spacing w:before="0" w:after="60"/>
      </w:pPr>
    </w:p>
    <w:p>
      <w:pPr>
        <w:pStyle w:val="MdParagraph"/>
      </w:pPr>
      <w:r>
        <w:rPr>
          <w:rStyle w:val="MdStrong"/>
          <w:b/>
          <w:bCs/>
        </w:rPr>
        <w:t xml:space="preserve">具体操作</w:t>
      </w:r>
      <w:r>
        <w:t xml:space="preserve">：</w:t>
      </w:r>
    </w:p>
    <w:p>
      <w:pPr>
        <w:pStyle w:val="MdListItem"/>
        <w:numPr>
          <w:ilvl w:val="0"/>
          <w:numId w:val="3"/>
        </w:numPr>
      </w:pPr>
      <w:r>
        <w:rPr>
          <w:rStyle w:val="MdStrong"/>
          <w:b/>
          <w:bCs/>
        </w:rPr>
        <w:t xml:space="preserve">买入看跌期权（Long Put）</w:t>
      </w:r>
      <w:r>
        <w:t xml:space="preserve">：在当前市场价格附近或略低于当前价格，买入一份看跌期权。这为贸易商的战略库存设定了一个最低销售价格，有效规避了未来粮食价格大幅下跌的风险，保护了库存价值。</w:t>
      </w:r>
    </w:p>
    <w:p>
      <w:pPr>
        <w:pStyle w:val="MdListItem"/>
        <w:numPr>
          <w:ilvl w:val="0"/>
          <w:numId w:val="3"/>
        </w:numPr>
      </w:pPr>
      <w:r>
        <w:rPr>
          <w:rStyle w:val="MdStrong"/>
          <w:b/>
          <w:bCs/>
        </w:rPr>
        <w:t xml:space="preserve">卖出看涨期权（Short Call）</w:t>
      </w:r>
      <w:r>
        <w:t xml:space="preserve">：同时，卖出一份行权价高于当前市场价格的看涨期权。通过收取看涨期权的权利金，可以部分或全部抵消买入看跌期权的成本，从而降低整体的期权费用支出。此举也意味着贸易商放弃了价格大幅上涨时超出看涨期权行权价部分的额外收益，但换取了更低的风险管理成本。</w:t>
      </w:r>
    </w:p>
    <w:p>
      <w:pPr>
        <w:pStyle w:val="MdSpace"/>
        <w:spacing w:before="0" w:after="60"/>
      </w:pPr>
    </w:p>
    <w:p>
      <w:pPr>
        <w:pStyle w:val="MdParagraph"/>
      </w:pPr>
      <w:r>
        <w:rPr>
          <w:rStyle w:val="MdStrong"/>
          <w:b/>
          <w:bCs/>
        </w:rPr>
        <w:t xml:space="preserve">收益与风险平衡</w:t>
      </w:r>
      <w:r>
        <w:t xml:space="preserve">：</w:t>
      </w:r>
    </w:p>
    <w:p>
      <w:pPr>
        <w:pStyle w:val="MdListItem"/>
        <w:numPr>
          <w:ilvl w:val="0"/>
          <w:numId w:val="2"/>
        </w:numPr>
      </w:pPr>
      <w:r>
        <w:rPr>
          <w:rStyle w:val="MdStrong"/>
          <w:b/>
          <w:bCs/>
        </w:rPr>
        <w:t xml:space="preserve">收益</w:t>
      </w:r>
      <w:r>
        <w:t xml:space="preserve">：在价格上涨至看涨期权行权价以下时，贸易商仍能享受价格上涨带来的收益；若价格下跌，看跌期权将提供保护。</w:t>
      </w:r>
    </w:p>
    <w:p>
      <w:pPr>
        <w:pStyle w:val="MdListItem"/>
        <w:numPr>
          <w:ilvl w:val="0"/>
          <w:numId w:val="2"/>
        </w:numPr>
      </w:pPr>
      <w:r>
        <w:rPr>
          <w:rStyle w:val="MdStrong"/>
          <w:b/>
          <w:bCs/>
        </w:rPr>
        <w:t xml:space="preserve">风险</w:t>
      </w:r>
      <w:r>
        <w:t xml:space="preserve">：最大损失被看跌期权行权价锁定；最大收益被看涨期权行权价限制。该策略适用于预期价格在一定区间内波动或温和上涨的市场环境。</w:t>
      </w:r>
    </w:p>
    <w:p>
      <w:pPr>
        <w:pStyle w:val="MdSpace"/>
        <w:spacing w:before="0" w:after="60"/>
      </w:pPr>
    </w:p>
    <w:p>
      <w:pPr>
        <w:pStyle w:val="Heading3"/>
        <w:pStyle w:val="MdHeading3"/>
      </w:pPr>
      <w:r>
        <w:t xml:space="preserve">3.2 动态基差调整与期权策略结合</w:t>
      </w:r>
    </w:p>
    <w:p>
      <w:pPr>
        <w:pStyle w:val="MdParagraph"/>
      </w:pPr>
      <w:r>
        <w:t xml:space="preserve">在实际操作中，我们将结合现货与期货市场的**基差（Basis）**变化，动态调整期权策略。基差是现货价格与期货价格之间的差异，其波动为贸易商提供了额外的套利和优化空间。通过对基差的深入分析和预测，可以：</w:t>
      </w:r>
    </w:p>
    <w:p>
      <w:pPr>
        <w:pStyle w:val="MdSpace"/>
        <w:spacing w:before="0" w:after="60"/>
      </w:pPr>
    </w:p>
    <w:p>
      <w:pPr>
        <w:pStyle w:val="MdListItem"/>
        <w:numPr>
          <w:ilvl w:val="0"/>
          <w:numId w:val="2"/>
        </w:numPr>
      </w:pPr>
      <w:r>
        <w:rPr>
          <w:rStyle w:val="MdStrong"/>
          <w:b/>
          <w:bCs/>
        </w:rPr>
        <w:t xml:space="preserve">优化期权行权价选择</w:t>
      </w:r>
      <w:r>
        <w:t xml:space="preserve">：根据预期的基差走势，选择更有利于建仓或平仓的期权行权价。</w:t>
      </w:r>
    </w:p>
    <w:p>
      <w:pPr>
        <w:pStyle w:val="MdListItem"/>
        <w:numPr>
          <w:ilvl w:val="0"/>
          <w:numId w:val="2"/>
        </w:numPr>
      </w:pPr>
      <w:r>
        <w:rPr>
          <w:rStyle w:val="MdStrong"/>
          <w:b/>
          <w:bCs/>
        </w:rPr>
        <w:t xml:space="preserve">调整期权持仓量</w:t>
      </w:r>
      <w:r>
        <w:t xml:space="preserve">：在基差走强或走弱时，灵活调整期权头寸，以最大化基差收益或规避基差风险。</w:t>
      </w:r>
    </w:p>
    <w:p>
      <w:pPr>
        <w:pStyle w:val="MdSpace"/>
        <w:spacing w:before="0" w:after="60"/>
      </w:pPr>
    </w:p>
    <w:p>
      <w:pPr>
        <w:pStyle w:val="Heading2"/>
        <w:pStyle w:val="MdHeading2"/>
      </w:pPr>
      <w:r>
        <w:t xml:space="preserve">4. 资金安排方案</w:t>
      </w:r>
    </w:p>
    <w:p>
      <w:pPr>
        <w:pStyle w:val="MdParagraph"/>
      </w:pPr>
      <w:r>
        <w:t xml:space="preserve">战略库存的建立需要大量资金支持。本方案将结合多种金融工具，为贸易商提供灵活高效的资金解决方案。</w:t>
      </w:r>
    </w:p>
    <w:p>
      <w:pPr>
        <w:pStyle w:val="MdSpace"/>
        <w:spacing w:before="0" w:after="60"/>
      </w:pPr>
    </w:p>
    <w:p>
      <w:pPr>
        <w:pStyle w:val="Heading3"/>
        <w:pStyle w:val="MdHeading3"/>
      </w:pPr>
      <w:r>
        <w:t xml:space="preserve">4.1 大宗商品回购（Commodity Repo）</w:t>
      </w:r>
    </w:p>
    <w:p>
      <w:pPr>
        <w:pStyle w:val="MdParagraph"/>
      </w:pPr>
      <w:r>
        <w:rPr>
          <w:rStyle w:val="MdStrong"/>
          <w:b/>
          <w:bCs/>
        </w:rPr>
        <w:t xml:space="preserve">模式</w:t>
      </w:r>
      <w:r>
        <w:t xml:space="preserve">：贸易商将其持有的战略库存（如粮食）出售给我司或指定的金融机构，并约定在未来某一时间以特定价格回购。这是一种短期融资工具，可以有效释放贸易商被库存占用的流动资金。</w:t>
      </w:r>
    </w:p>
    <w:p>
      <w:pPr>
        <w:pStyle w:val="MdSpace"/>
        <w:spacing w:before="0" w:after="60"/>
      </w:pPr>
    </w:p>
    <w:p>
      <w:pPr>
        <w:pStyle w:val="MdParagraph"/>
      </w:pPr>
      <w:r>
        <w:rPr>
          <w:rStyle w:val="MdStrong"/>
          <w:b/>
          <w:bCs/>
        </w:rPr>
        <w:t xml:space="preserve">优势</w:t>
      </w:r>
      <w:r>
        <w:t xml:space="preserve">：</w:t>
      </w:r>
    </w:p>
    <w:p>
      <w:pPr>
        <w:pStyle w:val="MdListItem"/>
        <w:numPr>
          <w:ilvl w:val="0"/>
          <w:numId w:val="2"/>
        </w:numPr>
      </w:pPr>
      <w:r>
        <w:rPr>
          <w:rStyle w:val="MdStrong"/>
          <w:b/>
          <w:bCs/>
        </w:rPr>
        <w:t xml:space="preserve">盘活存量资产</w:t>
      </w:r>
      <w:r>
        <w:t xml:space="preserve">：将实物库存转化为流动资金，提高资金使用效率。</w:t>
      </w:r>
    </w:p>
    <w:p>
      <w:pPr>
        <w:pStyle w:val="MdListItem"/>
        <w:numPr>
          <w:ilvl w:val="0"/>
          <w:numId w:val="2"/>
        </w:numPr>
      </w:pPr>
      <w:r>
        <w:rPr>
          <w:rStyle w:val="MdStrong"/>
          <w:b/>
          <w:bCs/>
        </w:rPr>
        <w:t xml:space="preserve">降低融资成本</w:t>
      </w:r>
      <w:r>
        <w:t xml:space="preserve">：通常回购利率低于传统银行贷款利率，且手续简便。</w:t>
      </w:r>
    </w:p>
    <w:p>
      <w:pPr>
        <w:pStyle w:val="MdListItem"/>
        <w:numPr>
          <w:ilvl w:val="0"/>
          <w:numId w:val="2"/>
        </w:numPr>
      </w:pPr>
      <w:r>
        <w:rPr>
          <w:rStyle w:val="MdStrong"/>
          <w:b/>
          <w:bCs/>
        </w:rPr>
        <w:t xml:space="preserve">保持库存控制权</w:t>
      </w:r>
      <w:r>
        <w:t xml:space="preserve">：贸易商在回购期结束后仍能收回库存，不影响其战略布局。</w:t>
      </w:r>
    </w:p>
    <w:p>
      <w:pPr>
        <w:pStyle w:val="MdSpace"/>
        <w:spacing w:before="0" w:after="60"/>
      </w:pPr>
    </w:p>
    <w:p>
      <w:pPr>
        <w:pStyle w:val="Heading3"/>
        <w:pStyle w:val="MdHeading3"/>
      </w:pPr>
      <w:r>
        <w:t xml:space="preserve">4.2 结构化预付款（Structured Prepayments）</w:t>
      </w:r>
    </w:p>
    <w:p>
      <w:pPr>
        <w:pStyle w:val="MdParagraph"/>
      </w:pPr>
      <w:r>
        <w:rPr>
          <w:rStyle w:val="MdStrong"/>
          <w:b/>
          <w:bCs/>
        </w:rPr>
        <w:t xml:space="preserve">模式</w:t>
      </w:r>
      <w:r>
        <w:t xml:space="preserve">：我司或合作金融机构向贸易商提供预付款，用于其采购粮食。预付款的偿还通常与未来粮食销售收入挂钩，并可能与场外期权等风险管理工具结合，以对冲价格波动风险。</w:t>
      </w:r>
    </w:p>
    <w:p>
      <w:pPr>
        <w:pStyle w:val="MdSpace"/>
        <w:spacing w:before="0" w:after="60"/>
      </w:pPr>
    </w:p>
    <w:p>
      <w:pPr>
        <w:pStyle w:val="MdParagraph"/>
      </w:pPr>
      <w:r>
        <w:rPr>
          <w:rStyle w:val="MdStrong"/>
          <w:b/>
          <w:bCs/>
        </w:rPr>
        <w:t xml:space="preserve">优势</w:t>
      </w:r>
      <w:r>
        <w:t xml:space="preserve">：</w:t>
      </w:r>
    </w:p>
    <w:p>
      <w:pPr>
        <w:pStyle w:val="MdListItem"/>
        <w:numPr>
          <w:ilvl w:val="0"/>
          <w:numId w:val="2"/>
        </w:numPr>
      </w:pPr>
      <w:r>
        <w:rPr>
          <w:rStyle w:val="MdStrong"/>
          <w:b/>
          <w:bCs/>
        </w:rPr>
        <w:t xml:space="preserve">保障采购资金</w:t>
      </w:r>
      <w:r>
        <w:t xml:space="preserve">：确保贸易商在价格低点有充足资金进行大规模采购。</w:t>
      </w:r>
    </w:p>
    <w:p>
      <w:pPr>
        <w:pStyle w:val="MdListItem"/>
        <w:numPr>
          <w:ilvl w:val="0"/>
          <w:numId w:val="2"/>
        </w:numPr>
      </w:pPr>
      <w:r>
        <w:rPr>
          <w:rStyle w:val="MdStrong"/>
          <w:b/>
          <w:bCs/>
        </w:rPr>
        <w:t xml:space="preserve">风险共担</w:t>
      </w:r>
      <w:r>
        <w:t xml:space="preserve">：通过与期权结合，部分价格风险由我司或金融机构承担。</w:t>
      </w:r>
    </w:p>
    <w:p>
      <w:pPr>
        <w:pStyle w:val="MdListItem"/>
        <w:numPr>
          <w:ilvl w:val="0"/>
          <w:numId w:val="2"/>
        </w:numPr>
      </w:pPr>
      <w:r>
        <w:rPr>
          <w:rStyle w:val="MdStrong"/>
          <w:b/>
          <w:bCs/>
        </w:rPr>
        <w:t xml:space="preserve">定制化服务</w:t>
      </w:r>
      <w:r>
        <w:t xml:space="preserve">：预付款的期限、利率和还款方式可根据贸易商的具体需求和市场情况进行定制。</w:t>
      </w:r>
    </w:p>
    <w:p>
      <w:pPr>
        <w:pStyle w:val="MdSpace"/>
        <w:spacing w:before="0" w:after="60"/>
      </w:pPr>
    </w:p>
    <w:p>
      <w:pPr>
        <w:pStyle w:val="Heading2"/>
        <w:pStyle w:val="MdHeading2"/>
      </w:pPr>
      <w:r>
        <w:t xml:space="preserve">5. 仓储物流方案</w:t>
      </w:r>
    </w:p>
    <w:p>
      <w:pPr>
        <w:pStyle w:val="MdParagraph"/>
      </w:pPr>
      <w:r>
        <w:t xml:space="preserve">高效、安全的仓储物流是战略库存成功的关键。本方案将通过以下措施确保仓储物流的可靠性。</w:t>
      </w:r>
    </w:p>
    <w:p>
      <w:pPr>
        <w:pStyle w:val="MdSpace"/>
        <w:spacing w:before="0" w:after="60"/>
      </w:pPr>
    </w:p>
    <w:p>
      <w:pPr>
        <w:pStyle w:val="Heading3"/>
        <w:pStyle w:val="MdHeading3"/>
      </w:pPr>
      <w:r>
        <w:t xml:space="preserve">5.1 优质仓储网络</w:t>
      </w:r>
    </w:p>
    <w:p>
      <w:pPr>
        <w:pStyle w:val="MdListItem"/>
        <w:numPr>
          <w:ilvl w:val="0"/>
          <w:numId w:val="2"/>
        </w:numPr>
      </w:pPr>
      <w:r>
        <w:rPr>
          <w:rStyle w:val="MdStrong"/>
          <w:b/>
          <w:bCs/>
        </w:rPr>
        <w:t xml:space="preserve">战略选址</w:t>
      </w:r>
      <w:r>
        <w:t xml:space="preserve">：选择靠近主要产区、消费市场或交通枢纽的优质仓库，确保运输效率。</w:t>
      </w:r>
    </w:p>
    <w:p>
      <w:pPr>
        <w:pStyle w:val="MdListItem"/>
        <w:numPr>
          <w:ilvl w:val="0"/>
          <w:numId w:val="2"/>
        </w:numPr>
      </w:pPr>
      <w:r>
        <w:rPr>
          <w:rStyle w:val="MdStrong"/>
          <w:b/>
          <w:bCs/>
        </w:rPr>
        <w:t xml:space="preserve">专业管理</w:t>
      </w:r>
      <w:r>
        <w:t xml:space="preserve">：合作仓库需具备先进的仓储管理系统、严格的质量控制标准和专业的管理团队，确保粮食储存安全。</w:t>
      </w:r>
    </w:p>
    <w:p>
      <w:pPr>
        <w:pStyle w:val="MdListItem"/>
        <w:numPr>
          <w:ilvl w:val="0"/>
          <w:numId w:val="2"/>
        </w:numPr>
      </w:pPr>
      <w:r>
        <w:rPr>
          <w:rStyle w:val="MdStrong"/>
          <w:b/>
          <w:bCs/>
        </w:rPr>
        <w:t xml:space="preserve">多元化仓储</w:t>
      </w:r>
      <w:r>
        <w:t xml:space="preserve">：分散存储于不同区域的仓库，降低单一仓库风险，提高供应链韧性。</w:t>
      </w:r>
    </w:p>
    <w:p>
      <w:pPr>
        <w:pStyle w:val="MdSpace"/>
        <w:spacing w:before="0" w:after="60"/>
      </w:pPr>
    </w:p>
    <w:p>
      <w:pPr>
        <w:pStyle w:val="Heading3"/>
        <w:pStyle w:val="MdHeading3"/>
      </w:pPr>
      <w:r>
        <w:t xml:space="preserve">5.2 智能化物流管理</w:t>
      </w:r>
    </w:p>
    <w:p>
      <w:pPr>
        <w:pStyle w:val="MdListItem"/>
        <w:numPr>
          <w:ilvl w:val="0"/>
          <w:numId w:val="2"/>
        </w:numPr>
      </w:pPr>
      <w:r>
        <w:rPr>
          <w:rStyle w:val="MdStrong"/>
          <w:b/>
          <w:bCs/>
        </w:rPr>
        <w:t xml:space="preserve">实时监控</w:t>
      </w:r>
      <w:r>
        <w:t xml:space="preserve">：利用物联网技术对库存进行实时监控，包括温度、湿度、虫害等，确保粮食质量。</w:t>
      </w:r>
    </w:p>
    <w:p>
      <w:pPr>
        <w:pStyle w:val="MdListItem"/>
        <w:numPr>
          <w:ilvl w:val="0"/>
          <w:numId w:val="2"/>
        </w:numPr>
      </w:pPr>
      <w:r>
        <w:rPr>
          <w:rStyle w:val="MdStrong"/>
          <w:b/>
          <w:bCs/>
        </w:rPr>
        <w:t xml:space="preserve">运输优化</w:t>
      </w:r>
      <w:r>
        <w:t xml:space="preserve">：通过大数据分析和智能调度系统，优化运输路线和方式，降低物流成本，提高配送效率。</w:t>
      </w:r>
    </w:p>
    <w:p>
      <w:pPr>
        <w:pStyle w:val="MdListItem"/>
        <w:numPr>
          <w:ilvl w:val="0"/>
          <w:numId w:val="2"/>
        </w:numPr>
      </w:pPr>
      <w:r>
        <w:rPr>
          <w:rStyle w:val="MdStrong"/>
          <w:b/>
          <w:bCs/>
        </w:rPr>
        <w:t xml:space="preserve">应急预案</w:t>
      </w:r>
      <w:r>
        <w:t xml:space="preserve">：建立完善的应急预案，应对突发事件（如自然灾害、交通中断），确保粮食及时调运。</w:t>
      </w:r>
    </w:p>
    <w:p>
      <w:pPr>
        <w:pStyle w:val="MdSpace"/>
        <w:spacing w:before="0" w:after="60"/>
      </w:pPr>
    </w:p>
    <w:p>
      <w:pPr>
        <w:pStyle w:val="Heading3"/>
        <w:pStyle w:val="MdHeading3"/>
      </w:pPr>
      <w:r>
        <w:t xml:space="preserve">5.3 深度合作与优先权</w:t>
      </w:r>
    </w:p>
    <w:p>
      <w:pPr>
        <w:pStyle w:val="MdParagraph"/>
      </w:pPr>
      <w:r>
        <w:t xml:space="preserve">通过与核心仓储物流伙伴建立股权合作或签订长期战略合作协议，确保在市场紧张或突发事件时，贸易商的战略库存能够获得优先的仓储和运输资源，从而真正发挥“安全垫”的作用。</w:t>
      </w:r>
    </w:p>
    <w:p>
      <w:pPr>
        <w:pStyle w:val="MdSpace"/>
        <w:spacing w:before="0" w:after="60"/>
      </w:pPr>
    </w:p>
    <w:p>
      <w:pPr>
        <w:pStyle w:val="Heading2"/>
        <w:pStyle w:val="MdHeading2"/>
      </w:pPr>
      <w:r>
        <w:t xml:space="preserve">6. 风险控制机制</w:t>
      </w:r>
    </w:p>
    <w:p>
      <w:pPr>
        <w:pStyle w:val="MdParagraph"/>
      </w:pPr>
      <w:r>
        <w:t xml:space="preserve">全面的风险控制是战略库存方案成功的基石。本方案将建立多层次的风险管理框架。</w:t>
      </w:r>
    </w:p>
    <w:p>
      <w:pPr>
        <w:pStyle w:val="MdSpace"/>
        <w:spacing w:before="0" w:after="60"/>
      </w:pPr>
    </w:p>
    <w:p>
      <w:pPr>
        <w:pStyle w:val="Heading3"/>
        <w:pStyle w:val="MdHeading3"/>
      </w:pPr>
      <w:r>
        <w:t xml:space="preserve">6.1 市场风险管理</w:t>
      </w:r>
    </w:p>
    <w:p>
      <w:pPr>
        <w:pStyle w:val="MdListItem"/>
        <w:numPr>
          <w:ilvl w:val="0"/>
          <w:numId w:val="2"/>
        </w:numPr>
      </w:pPr>
      <w:r>
        <w:rPr>
          <w:rStyle w:val="MdStrong"/>
          <w:b/>
          <w:bCs/>
        </w:rPr>
        <w:t xml:space="preserve">价格风险</w:t>
      </w:r>
      <w:r>
        <w:t xml:space="preserve">：通过上述领口式期权组合，锁定战略库存的最低销售价格，规避价格大幅下跌风险。</w:t>
      </w:r>
    </w:p>
    <w:p>
      <w:pPr>
        <w:pStyle w:val="MdListItem"/>
        <w:numPr>
          <w:ilvl w:val="0"/>
          <w:numId w:val="2"/>
        </w:numPr>
      </w:pPr>
      <w:r>
        <w:rPr>
          <w:rStyle w:val="MdStrong"/>
          <w:b/>
          <w:bCs/>
        </w:rPr>
        <w:t xml:space="preserve">基差风险</w:t>
      </w:r>
      <w:r>
        <w:t xml:space="preserve">：建立基差监测和分析模型，动态调整期权策略，降低基差波动对收益的影响。</w:t>
      </w:r>
    </w:p>
    <w:p>
      <w:pPr>
        <w:pStyle w:val="MdListItem"/>
        <w:numPr>
          <w:ilvl w:val="0"/>
          <w:numId w:val="2"/>
        </w:numPr>
      </w:pPr>
      <w:r>
        <w:rPr>
          <w:rStyle w:val="MdStrong"/>
          <w:b/>
          <w:bCs/>
        </w:rPr>
        <w:t xml:space="preserve">流动性风险</w:t>
      </w:r>
      <w:r>
        <w:t xml:space="preserve">：通过大宗商品回购和结构化预付款等融资工具，确保贸易商拥有充足的流动资金，避免因资金链紧张而被迫低价抛售库存。</w:t>
      </w:r>
    </w:p>
    <w:p>
      <w:pPr>
        <w:pStyle w:val="MdSpace"/>
        <w:spacing w:before="0" w:after="60"/>
      </w:pPr>
    </w:p>
    <w:p>
      <w:pPr>
        <w:pStyle w:val="Heading3"/>
        <w:pStyle w:val="MdHeading3"/>
      </w:pPr>
      <w:r>
        <w:t xml:space="preserve">6.2 信用风险管理</w:t>
      </w:r>
    </w:p>
    <w:p>
      <w:pPr>
        <w:pStyle w:val="MdListItem"/>
        <w:numPr>
          <w:ilvl w:val="0"/>
          <w:numId w:val="2"/>
        </w:numPr>
      </w:pPr>
      <w:r>
        <w:rPr>
          <w:rStyle w:val="MdStrong"/>
          <w:b/>
          <w:bCs/>
        </w:rPr>
        <w:t xml:space="preserve">交易对手评估</w:t>
      </w:r>
      <w:r>
        <w:t xml:space="preserve">：对我司及合作金融机构进行严格的信用评估，确保其履约能力。</w:t>
      </w:r>
    </w:p>
    <w:p>
      <w:pPr>
        <w:pStyle w:val="MdListItem"/>
        <w:numPr>
          <w:ilvl w:val="0"/>
          <w:numId w:val="2"/>
        </w:numPr>
      </w:pPr>
      <w:r>
        <w:rPr>
          <w:rStyle w:val="MdStrong"/>
          <w:b/>
          <w:bCs/>
        </w:rPr>
        <w:t xml:space="preserve">担保措施</w:t>
      </w:r>
      <w:r>
        <w:t xml:space="preserve">：在必要时，可引入第三方担保或抵押物，降低信用风险。</w:t>
      </w:r>
    </w:p>
    <w:p>
      <w:pPr>
        <w:pStyle w:val="MdListItem"/>
        <w:numPr>
          <w:ilvl w:val="0"/>
          <w:numId w:val="2"/>
        </w:numPr>
      </w:pPr>
      <w:r>
        <w:rPr>
          <w:rStyle w:val="MdStrong"/>
          <w:b/>
          <w:bCs/>
        </w:rPr>
        <w:t xml:space="preserve">分散化交易</w:t>
      </w:r>
      <w:r>
        <w:t xml:space="preserve">：与多家金融机构建立合作关系，分散交易对手风险。</w:t>
      </w:r>
    </w:p>
    <w:p>
      <w:pPr>
        <w:pStyle w:val="MdSpace"/>
        <w:spacing w:before="0" w:after="60"/>
      </w:pPr>
    </w:p>
    <w:p>
      <w:pPr>
        <w:pStyle w:val="Heading3"/>
        <w:pStyle w:val="MdHeading3"/>
      </w:pPr>
      <w:r>
        <w:t xml:space="preserve">6.3 操作风险管理</w:t>
      </w:r>
    </w:p>
    <w:p>
      <w:pPr>
        <w:pStyle w:val="MdListItem"/>
        <w:numPr>
          <w:ilvl w:val="0"/>
          <w:numId w:val="2"/>
        </w:numPr>
      </w:pPr>
      <w:r>
        <w:rPr>
          <w:rStyle w:val="MdStrong"/>
          <w:b/>
          <w:bCs/>
        </w:rPr>
        <w:t xml:space="preserve">内部控制</w:t>
      </w:r>
      <w:r>
        <w:t xml:space="preserve">：建立健全的内部控制制度，规范交易流程，防范操作失误和舞弊行为。</w:t>
      </w:r>
    </w:p>
    <w:p>
      <w:pPr>
        <w:pStyle w:val="MdListItem"/>
        <w:numPr>
          <w:ilvl w:val="0"/>
          <w:numId w:val="2"/>
        </w:numPr>
      </w:pPr>
      <w:r>
        <w:rPr>
          <w:rStyle w:val="MdStrong"/>
          <w:b/>
          <w:bCs/>
        </w:rPr>
        <w:t xml:space="preserve">系统支持</w:t>
      </w:r>
      <w:r>
        <w:t xml:space="preserve">：引入专业的风险管理系统，实现风险指标的实时监控、预警和报告。</w:t>
      </w:r>
    </w:p>
    <w:p>
      <w:pPr>
        <w:pStyle w:val="MdListItem"/>
        <w:numPr>
          <w:ilvl w:val="0"/>
          <w:numId w:val="2"/>
        </w:numPr>
      </w:pPr>
      <w:r>
        <w:rPr>
          <w:rStyle w:val="MdStrong"/>
          <w:b/>
          <w:bCs/>
        </w:rPr>
        <w:t xml:space="preserve">人员培训</w:t>
      </w:r>
      <w:r>
        <w:t xml:space="preserve">：定期对相关人员进行风险管理培训，提高风险意识和应对能力。</w:t>
      </w:r>
    </w:p>
    <w:p>
      <w:pPr>
        <w:pStyle w:val="MdSpace"/>
        <w:spacing w:before="0" w:after="60"/>
      </w:pPr>
    </w:p>
    <w:p>
      <w:pPr>
        <w:pStyle w:val="Heading3"/>
        <w:pStyle w:val="MdHeading3"/>
      </w:pPr>
      <w:r>
        <w:t xml:space="preserve">6.4 仓储物流风险管理</w:t>
      </w:r>
    </w:p>
    <w:p>
      <w:pPr>
        <w:pStyle w:val="MdListItem"/>
        <w:numPr>
          <w:ilvl w:val="0"/>
          <w:numId w:val="2"/>
        </w:numPr>
      </w:pPr>
      <w:r>
        <w:rPr>
          <w:rStyle w:val="MdStrong"/>
          <w:b/>
          <w:bCs/>
        </w:rPr>
        <w:t xml:space="preserve">质量风险</w:t>
      </w:r>
      <w:r>
        <w:t xml:space="preserve">：严格执行粮食入库、在库、出库的质量检测标准，防止质量劣化。</w:t>
      </w:r>
    </w:p>
    <w:p>
      <w:pPr>
        <w:pStyle w:val="MdListItem"/>
        <w:numPr>
          <w:ilvl w:val="0"/>
          <w:numId w:val="2"/>
        </w:numPr>
      </w:pPr>
      <w:r>
        <w:rPr>
          <w:rStyle w:val="MdStrong"/>
          <w:b/>
          <w:bCs/>
        </w:rPr>
        <w:t xml:space="preserve">安全风险</w:t>
      </w:r>
      <w:r>
        <w:t xml:space="preserve">：加强仓库安全管理，防范火灾、盗窃、虫害等风险。</w:t>
      </w:r>
    </w:p>
    <w:p>
      <w:pPr>
        <w:pStyle w:val="MdListItem"/>
        <w:numPr>
          <w:ilvl w:val="0"/>
          <w:numId w:val="2"/>
        </w:numPr>
      </w:pPr>
      <w:r>
        <w:rPr>
          <w:rStyle w:val="MdStrong"/>
          <w:b/>
          <w:bCs/>
        </w:rPr>
        <w:t xml:space="preserve">运输风险</w:t>
      </w:r>
      <w:r>
        <w:t xml:space="preserve">：选择信誉良好的物流承运商，购买运输保险，规避运输过程中的损失。</w:t>
      </w:r>
    </w:p>
    <w:p>
      <w:pPr>
        <w:pStyle w:val="MdSpace"/>
        <w:spacing w:before="0" w:after="60"/>
      </w:pPr>
    </w:p>
    <w:p>
      <w:pPr>
        <w:pStyle w:val="Heading2"/>
        <w:pStyle w:val="MdHeading2"/>
      </w:pPr>
      <w:r>
        <w:t xml:space="preserve">7. 合作条款设计建议</w:t>
      </w:r>
    </w:p>
    <w:p>
      <w:pPr>
        <w:pStyle w:val="MdParagraph"/>
      </w:pPr>
      <w:r>
        <w:t xml:space="preserve">基于上述方案，我们建议在合作条款中重点关注以下方面：</w:t>
      </w:r>
    </w:p>
    <w:p>
      <w:pPr>
        <w:pStyle w:val="MdSpace"/>
        <w:spacing w:before="0" w:after="60"/>
      </w:pPr>
    </w:p>
    <w:p>
      <w:pPr>
        <w:pStyle w:val="Heading3"/>
        <w:pStyle w:val="MdHeading3"/>
      </w:pPr>
      <w:r>
        <w:t xml:space="preserve">7.1 场外期权协议</w:t>
      </w:r>
    </w:p>
    <w:p>
      <w:pPr>
        <w:pStyle w:val="MdListItem"/>
        <w:numPr>
          <w:ilvl w:val="0"/>
          <w:numId w:val="2"/>
        </w:numPr>
      </w:pPr>
      <w:r>
        <w:rPr>
          <w:rStyle w:val="MdStrong"/>
          <w:b/>
          <w:bCs/>
        </w:rPr>
        <w:t xml:space="preserve">期权类型与结构</w:t>
      </w:r>
      <w:r>
        <w:t xml:space="preserve">：明确采用领口式期权组合，详细约定看跌期权和看涨期权的行权价、到期日、名义本金、权利金支付方式等。</w:t>
      </w:r>
    </w:p>
    <w:p>
      <w:pPr>
        <w:pStyle w:val="MdListItem"/>
        <w:numPr>
          <w:ilvl w:val="0"/>
          <w:numId w:val="2"/>
        </w:numPr>
      </w:pPr>
      <w:r>
        <w:rPr>
          <w:rStyle w:val="MdStrong"/>
          <w:b/>
          <w:bCs/>
        </w:rPr>
        <w:t xml:space="preserve">标的物</w:t>
      </w:r>
      <w:r>
        <w:t xml:space="preserve">：明确期权挂钩的粮食品种、质量标准和交割地点。</w:t>
      </w:r>
    </w:p>
    <w:p>
      <w:pPr>
        <w:pStyle w:val="MdListItem"/>
        <w:numPr>
          <w:ilvl w:val="0"/>
          <w:numId w:val="2"/>
        </w:numPr>
      </w:pPr>
      <w:r>
        <w:rPr>
          <w:rStyle w:val="MdStrong"/>
          <w:b/>
          <w:bCs/>
        </w:rPr>
        <w:t xml:space="preserve">估值与结算</w:t>
      </w:r>
      <w:r>
        <w:t xml:space="preserve">：约定期权的估值方法、每日盯市（Mark-to-Market）机制以及到期结算方式。</w:t>
      </w:r>
    </w:p>
    <w:p>
      <w:pPr>
        <w:pStyle w:val="MdListItem"/>
        <w:numPr>
          <w:ilvl w:val="0"/>
          <w:numId w:val="2"/>
        </w:numPr>
      </w:pPr>
      <w:r>
        <w:rPr>
          <w:rStyle w:val="MdStrong"/>
          <w:b/>
          <w:bCs/>
        </w:rPr>
        <w:t xml:space="preserve">违约条款</w:t>
      </w:r>
      <w:r>
        <w:t xml:space="preserve">：明确双方在违约情况下的责任和处理机制。</w:t>
      </w:r>
    </w:p>
    <w:p>
      <w:pPr>
        <w:pStyle w:val="MdSpace"/>
        <w:spacing w:before="0" w:after="60"/>
      </w:pPr>
    </w:p>
    <w:p>
      <w:pPr>
        <w:pStyle w:val="Heading3"/>
        <w:pStyle w:val="MdHeading3"/>
      </w:pPr>
      <w:r>
        <w:t xml:space="preserve">7.2 资金安排协议</w:t>
      </w:r>
    </w:p>
    <w:p>
      <w:pPr>
        <w:pStyle w:val="MdListItem"/>
        <w:numPr>
          <w:ilvl w:val="0"/>
          <w:numId w:val="2"/>
        </w:numPr>
      </w:pPr>
      <w:r>
        <w:rPr>
          <w:rStyle w:val="MdStrong"/>
          <w:b/>
          <w:bCs/>
        </w:rPr>
        <w:t xml:space="preserve">融资额度与期限</w:t>
      </w:r>
      <w:r>
        <w:t xml:space="preserve">：明确大宗商品回购或结构化预付款的融资总额、单笔额度、期限和展期条件。</w:t>
      </w:r>
    </w:p>
    <w:p>
      <w:pPr>
        <w:pStyle w:val="MdListItem"/>
        <w:numPr>
          <w:ilvl w:val="0"/>
          <w:numId w:val="2"/>
        </w:numPr>
      </w:pPr>
      <w:r>
        <w:rPr>
          <w:rStyle w:val="MdStrong"/>
          <w:b/>
          <w:bCs/>
        </w:rPr>
        <w:t xml:space="preserve">利率与费用</w:t>
      </w:r>
      <w:r>
        <w:t xml:space="preserve">：约定融资利率、手续费、管理费等各项费用。</w:t>
      </w:r>
    </w:p>
    <w:p>
      <w:pPr>
        <w:pStyle w:val="MdListItem"/>
        <w:numPr>
          <w:ilvl w:val="0"/>
          <w:numId w:val="2"/>
        </w:numPr>
      </w:pPr>
      <w:r>
        <w:rPr>
          <w:rStyle w:val="MdStrong"/>
          <w:b/>
          <w:bCs/>
        </w:rPr>
        <w:t xml:space="preserve">抵押与担保</w:t>
      </w:r>
      <w:r>
        <w:t xml:space="preserve">：明确是否需要以库存粮食或其他资产作为抵押或担保，以及相关法律手续。</w:t>
      </w:r>
    </w:p>
    <w:p>
      <w:pPr>
        <w:pStyle w:val="MdListItem"/>
        <w:numPr>
          <w:ilvl w:val="0"/>
          <w:numId w:val="2"/>
        </w:numPr>
      </w:pPr>
      <w:r>
        <w:rPr>
          <w:rStyle w:val="MdStrong"/>
          <w:b/>
          <w:bCs/>
        </w:rPr>
        <w:t xml:space="preserve">还款计划</w:t>
      </w:r>
      <w:r>
        <w:t xml:space="preserve">：约定详细的还款计划和违约责任。</w:t>
      </w:r>
    </w:p>
    <w:p>
      <w:pPr>
        <w:pStyle w:val="MdSpace"/>
        <w:spacing w:before="0" w:after="60"/>
      </w:pPr>
    </w:p>
    <w:p>
      <w:pPr>
        <w:pStyle w:val="Heading3"/>
        <w:pStyle w:val="MdHeading3"/>
      </w:pPr>
      <w:r>
        <w:t xml:space="preserve">7.3 仓储物流服务协议</w:t>
      </w:r>
    </w:p>
    <w:p>
      <w:pPr>
        <w:pStyle w:val="MdListItem"/>
        <w:numPr>
          <w:ilvl w:val="0"/>
          <w:numId w:val="2"/>
        </w:numPr>
      </w:pPr>
      <w:r>
        <w:rPr>
          <w:rStyle w:val="MdStrong"/>
          <w:b/>
          <w:bCs/>
        </w:rPr>
        <w:t xml:space="preserve">仓储标准</w:t>
      </w:r>
      <w:r>
        <w:t xml:space="preserve">：明确仓库的资质、存储条件、质量管理标准和损耗率约定。</w:t>
      </w:r>
    </w:p>
    <w:p>
      <w:pPr>
        <w:pStyle w:val="MdListItem"/>
        <w:numPr>
          <w:ilvl w:val="0"/>
          <w:numId w:val="2"/>
        </w:numPr>
      </w:pPr>
      <w:r>
        <w:rPr>
          <w:rStyle w:val="MdStrong"/>
          <w:b/>
          <w:bCs/>
        </w:rPr>
        <w:t xml:space="preserve">物流服务</w:t>
      </w:r>
      <w:r>
        <w:t xml:space="preserve">：约定运输方式、时效、费用、保险以及应急响应机制。</w:t>
      </w:r>
    </w:p>
    <w:p>
      <w:pPr>
        <w:pStyle w:val="MdListItem"/>
        <w:numPr>
          <w:ilvl w:val="0"/>
          <w:numId w:val="2"/>
        </w:numPr>
      </w:pPr>
      <w:r>
        <w:rPr>
          <w:rStyle w:val="MdStrong"/>
          <w:b/>
          <w:bCs/>
        </w:rPr>
        <w:t xml:space="preserve">优先权条款</w:t>
      </w:r>
      <w:r>
        <w:t xml:space="preserve">：明确贸易商在仓储和运输资源上的优先使用权。</w:t>
      </w:r>
    </w:p>
    <w:p>
      <w:pPr>
        <w:pStyle w:val="MdListItem"/>
        <w:numPr>
          <w:ilvl w:val="0"/>
          <w:numId w:val="2"/>
        </w:numPr>
      </w:pPr>
      <w:r>
        <w:rPr>
          <w:rStyle w:val="MdStrong"/>
          <w:b/>
          <w:bCs/>
        </w:rPr>
        <w:t xml:space="preserve">信息共享</w:t>
      </w:r>
      <w:r>
        <w:t xml:space="preserve">：约定双方在库存信息、物流状态等方面的实时共享机制。</w:t>
      </w:r>
    </w:p>
    <w:p>
      <w:pPr>
        <w:pStyle w:val="MdSpace"/>
        <w:spacing w:before="0" w:after="60"/>
      </w:pPr>
    </w:p>
    <w:p>
      <w:pPr>
        <w:pStyle w:val="Heading3"/>
        <w:pStyle w:val="MdHeading3"/>
      </w:pPr>
      <w:r>
        <w:t xml:space="preserve">7.4 风险管理与信息披露</w:t>
      </w:r>
    </w:p>
    <w:p>
      <w:pPr>
        <w:pStyle w:val="MdListItem"/>
        <w:numPr>
          <w:ilvl w:val="0"/>
          <w:numId w:val="2"/>
        </w:numPr>
      </w:pPr>
      <w:r>
        <w:rPr>
          <w:rStyle w:val="MdStrong"/>
          <w:b/>
          <w:bCs/>
        </w:rPr>
        <w:t xml:space="preserve">风险敞口监控</w:t>
      </w:r>
      <w:r>
        <w:t xml:space="preserve">：约定双方定期共享市场风险敞口数据，共同评估和调整风险管理策略。</w:t>
      </w:r>
    </w:p>
    <w:p>
      <w:pPr>
        <w:pStyle w:val="MdListItem"/>
        <w:numPr>
          <w:ilvl w:val="0"/>
          <w:numId w:val="2"/>
        </w:numPr>
      </w:pPr>
      <w:r>
        <w:rPr>
          <w:rStyle w:val="MdStrong"/>
          <w:b/>
          <w:bCs/>
        </w:rPr>
        <w:t xml:space="preserve">信息披露</w:t>
      </w:r>
      <w:r>
        <w:t xml:space="preserve">：明确双方在市场重大变化、政策调整、不可抗力事件等方面的信息披露义务。</w:t>
      </w:r>
    </w:p>
    <w:p>
      <w:pPr>
        <w:pStyle w:val="MdListItem"/>
        <w:numPr>
          <w:ilvl w:val="0"/>
          <w:numId w:val="2"/>
        </w:numPr>
      </w:pPr>
      <w:r>
        <w:rPr>
          <w:rStyle w:val="MdStrong"/>
          <w:b/>
          <w:bCs/>
        </w:rPr>
        <w:t xml:space="preserve">争议解决</w:t>
      </w:r>
      <w:r>
        <w:t xml:space="preserve">：约定争议解决方式，如协商、调解、仲裁或诉讼。</w:t>
      </w:r>
    </w:p>
    <w:p>
      <w:pPr>
        <w:pStyle w:val="MdSpace"/>
        <w:spacing w:before="0" w:after="60"/>
      </w:pPr>
    </w:p>
    <w:p>
      <w:pPr>
        <w:pStyle w:val="Heading2"/>
        <w:pStyle w:val="MdHeading2"/>
      </w:pPr>
      <w:r>
        <w:t xml:space="preserve">8. 结论</w:t>
      </w:r>
    </w:p>
    <w:p>
      <w:pPr>
        <w:pStyle w:val="MdParagraph"/>
      </w:pPr>
      <w:r>
        <w:t xml:space="preserve">本合作方案通过将我司在场外期权领域的专业经验与大型粮食贸易商的战略库存需求相结合，提供了一套全面、可操作的解决方案。该方案不仅能够帮助贸易商在当前复杂多变的市场环境中有效管理价格风险、优化资金配置，更能为其建立起一道应对未来供应中断和价格暴涨的“安全垫”。我们期待与贵司携手，共同实现稳健发展和战略目标。</w:t>
      </w:r>
    </w:p>
    <w:p>
      <w:pPr>
        <w:pStyle w:val="MdSpace"/>
        <w:spacing w:before="0" w:after="60"/>
      </w:pPr>
    </w:p>
    <w:p>
      <w:pPr>
        <w:pStyle w:val="Heading2"/>
        <w:pStyle w:val="MdHeading2"/>
      </w:pPr>
      <w:r>
        <w:t xml:space="preserve">参考文献</w:t>
      </w:r>
    </w:p>
    <w:p>
      <w:pPr>
        <w:pStyle w:val="MdParagraph"/>
      </w:pPr>
      <w:r>
        <w:t xml:space="preserve">[1] 物产中大化工运用期权服务产业巧生花. (2021). 大连商品交易所. </w:t>
      </w:r>
      <w:hyperlink w:history="1" r:id="rIdm4l6ipamk3p5zbvtfhnj-">
        <w:r>
          <w:rPr>
            <w:rStyle w:val="MdLink"/>
          </w:rPr>
          <w:t xml:space="preserve">http://www.dce.com.cn/dce/content/2021/wm0/6286126.html</w:t>
        </w:r>
      </w:hyperlink>
      <w:r>
        <w:t xml:space="preserve">
[2] 使用期权降低库存成本：策略与案例分析. (n.d.). ShinnyTech. </w:t>
      </w:r>
      <w:hyperlink w:history="1" r:id="rIdb8ikyownsmgxiqh1tpmie">
        <w:r>
          <w:rPr>
            <w:rStyle w:val="MdLink"/>
          </w:rPr>
          <w:t xml:space="preserve">https://www.shinnytech.com/articles/hedge/hedging-strategies/reserve-option</w:t>
        </w:r>
      </w:hyperlink>
      <w:r>
        <w:t xml:space="preserve">
[3] 多头领式策略: 定义、运作方式和示例. (n.d.). moomoo. </w:t>
      </w:r>
      <w:hyperlink w:history="1" r:id="rIdzwoo_5mzvx1gpkqlqjzgs">
        <w:r>
          <w:rPr>
            <w:rStyle w:val="MdLink"/>
          </w:rPr>
          <w:t xml:space="preserve">https://www.moomoo.com/us/hans/learn/detail-collar-options-strategy-117527-241017055</w:t>
        </w:r>
      </w:hyperlink>
      <w:r>
        <w:t xml:space="preserve">
[4] 郑商所期权优秀案例- 菜粕期权. (n.d.). 南华期货. </w:t>
      </w:r>
      <w:hyperlink w:history="1" r:id="rIdksepzf3mrqiu93gqbwubo">
        <w:r>
          <w:rPr>
            <w:rStyle w:val="MdLink"/>
          </w:rPr>
          <w:t xml:space="preserve">https://www.nanhua.net/cmsbigfile/2023/03/94d0a815-f480-494f-a039-415993a3f50f/%E9%83%91%E5%95%86%E6%89%80%E6%9C%9F%E6%9D%83%E4%BC%98%E7%A7%80%E6%A1%88%E4%BE%8B%E6%B1%87%E7%BC%96-%E8%8F%9C%E7%B2%B5%E6%9C%97%E6%9D%83.pdf</w:t>
        </w:r>
      </w:hyperlink>
      <w:r>
        <w:t xml:space="preserve">
[5] [PDF] 揭秘预付款. (n.d.). Commodities Demystified. </w:t>
      </w:r>
      <w:hyperlink w:history="1" r:id="rIdudttymw0-seluchsgwttq">
        <w:r>
          <w:rPr>
            <w:rStyle w:val="MdLink"/>
          </w:rPr>
          <w:t xml:space="preserve">https://www.commoditiesdemystified.info/pdf/Prepayments_Demystified_CommoditiesDemystified-zh.pdf</w:t>
        </w:r>
      </w:hyperlink>
      <w:r>
        <w:t xml:space="preserve">
[6] Physical inventory services - Inventory financing solutions | StoneX US. (n.d.). StoneX. </w:t>
      </w:r>
      <w:hyperlink w:history="1" r:id="rIdvvc74u2b8hlzzb9tah5ck">
        <w:r>
          <w:rPr>
            <w:rStyle w:val="MdLink"/>
          </w:rPr>
          <w:t xml:space="preserve">https://www.stonex.com/en-us/business/supply-and-trading/financing-services/inventory-financing/</w:t>
        </w:r>
      </w:hyperlink>
      <w:r>
        <w:t xml:space="preserve">
[7] [PDF] 期货业服务实体经济行动计划纲要. (n.d.). 中国期货业协会. </w:t>
      </w:r>
      <w:hyperlink w:history="1" r:id="rIdb6wprqeubsnaeriqumirx">
        <w:r>
          <w:rPr>
            <w:rStyle w:val="MdLink"/>
          </w:rPr>
          <w:t xml:space="preserve">http://www.cfachina.org/aboutassociation/associationannouncement/201603/P020201215466841786388.doc</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4l6ipamk3p5zbvtfhnj-" Type="http://schemas.openxmlformats.org/officeDocument/2006/relationships/hyperlink" Target="http://www.dce.com.cn/dce/content/2021/wm0/6286126.html" TargetMode="External"/><Relationship Id="rIdb8ikyownsmgxiqh1tpmie" Type="http://schemas.openxmlformats.org/officeDocument/2006/relationships/hyperlink" Target="https://www.shinnytech.com/articles/hedge/hedging-strategies/reserve-option" TargetMode="External"/><Relationship Id="rIdzwoo_5mzvx1gpkqlqjzgs" Type="http://schemas.openxmlformats.org/officeDocument/2006/relationships/hyperlink" Target="https://www.moomoo.com/us/hans/learn/detail-collar-options-strategy-117527-241017055" TargetMode="External"/><Relationship Id="rIdksepzf3mrqiu93gqbwubo" Type="http://schemas.openxmlformats.org/officeDocument/2006/relationships/hyperlink" Target="https://www.nanhua.net/cmsbigfile/2023/03/94d0a815-f480-494f-a039-415993a3f50f/%E9%83%91%E5%95%86%E6%9C%9F%E6%9D%83%E4%BC%98%E7%A7%80%E6%A1%88%E4%BE%8B%E6%B1%87%E7%BC%96-%E8%8F%9C%E7%B2%B5%E6%9C%97%E6%9D%83.pdf" TargetMode="External"/><Relationship Id="rIdudttymw0-seluchsgwttq" Type="http://schemas.openxmlformats.org/officeDocument/2006/relationships/hyperlink" Target="https://www.commoditiesdemystified.info/pdf/Prepayments_Demystified_CommoditiesDemystified-zh.pdf" TargetMode="External"/><Relationship Id="rIdvvc74u2b8hlzzb9tah5ck" Type="http://schemas.openxmlformats.org/officeDocument/2006/relationships/hyperlink" Target="https://www.stonex.com/en-us/business/supply-and-trading/financing-services/inventory-financing/" TargetMode="External"/><Relationship Id="rIdb6wprqeubsnaeriqumirx" Type="http://schemas.openxmlformats.org/officeDocument/2006/relationships/hyperlink" Target="http://www.cfachina.org/aboutassociation/associationannouncement/201603/P020201215466841786388.doc"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2026-05-28T08:05:28.646Z</dcterms:created>
  <dcterms:modified xsi:type="dcterms:W3CDTF">2026-05-28T08:05:28.646Z</dcterms:modified>
</cp:coreProperties>
</file>

<file path=docProps/custom.xml><?xml version="1.0" encoding="utf-8"?>
<Properties xmlns="http://schemas.openxmlformats.org/officeDocument/2006/custom-properties" xmlns:vt="http://schemas.openxmlformats.org/officeDocument/2006/docPropsVTypes"/>
</file>