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C6280" w:rsidRPr="002C6280" w14:paraId="7657AABA" w14:textId="77777777">
        <w:tc>
          <w:tcPr>
            <w:tcW w:w="1659" w:type="dxa"/>
          </w:tcPr>
          <w:p w14:paraId="775A1EFD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实验场景</w:t>
            </w:r>
          </w:p>
        </w:tc>
        <w:tc>
          <w:tcPr>
            <w:tcW w:w="1659" w:type="dxa"/>
          </w:tcPr>
          <w:p w14:paraId="5763C1BA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实验目标</w:t>
            </w:r>
          </w:p>
        </w:tc>
        <w:tc>
          <w:tcPr>
            <w:tcW w:w="1659" w:type="dxa"/>
          </w:tcPr>
          <w:p w14:paraId="290BD31D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计算指标</w:t>
            </w:r>
          </w:p>
        </w:tc>
        <w:tc>
          <w:tcPr>
            <w:tcW w:w="1659" w:type="dxa"/>
          </w:tcPr>
          <w:p w14:paraId="45AED182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计算方法</w:t>
            </w:r>
          </w:p>
        </w:tc>
        <w:tc>
          <w:tcPr>
            <w:tcW w:w="1660" w:type="dxa"/>
          </w:tcPr>
          <w:p w14:paraId="5EA83720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参考评价标准</w:t>
            </w:r>
          </w:p>
        </w:tc>
      </w:tr>
      <w:tr w:rsidR="002C6280" w:rsidRPr="002C6280" w14:paraId="050A4C96" w14:textId="77777777">
        <w:tc>
          <w:tcPr>
            <w:tcW w:w="1659" w:type="dxa"/>
          </w:tcPr>
          <w:p w14:paraId="1C3D9530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斑马鱼孔板实验</w:t>
            </w:r>
          </w:p>
        </w:tc>
        <w:tc>
          <w:tcPr>
            <w:tcW w:w="1659" w:type="dxa"/>
          </w:tcPr>
          <w:p w14:paraId="01911068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基础运动能力评估</w:t>
            </w:r>
          </w:p>
        </w:tc>
        <w:tc>
          <w:tcPr>
            <w:tcW w:w="1659" w:type="dxa"/>
          </w:tcPr>
          <w:p w14:paraId="352F2193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总运动距离</w:t>
            </w:r>
          </w:p>
        </w:tc>
        <w:tc>
          <w:tcPr>
            <w:tcW w:w="1659" w:type="dxa"/>
          </w:tcPr>
          <w:p w14:paraId="6C27DC4B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总运动距离 = 单尾鱼在设定观察时段内的轨迹长度总和</w:t>
            </w:r>
          </w:p>
        </w:tc>
        <w:tc>
          <w:tcPr>
            <w:tcW w:w="1660" w:type="dxa"/>
          </w:tcPr>
          <w:p w14:paraId="503B110F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总运动距离下降通常提示活动性降低；但需结合发育阶段、药物暴露、光照程序和孔板规格综合判断</w:t>
            </w:r>
          </w:p>
        </w:tc>
      </w:tr>
      <w:tr w:rsidR="002C6280" w:rsidRPr="002C6280" w14:paraId="53C6AC7C" w14:textId="77777777">
        <w:tc>
          <w:tcPr>
            <w:tcW w:w="1659" w:type="dxa"/>
          </w:tcPr>
          <w:p w14:paraId="7728CBB0" w14:textId="77777777" w:rsidR="002C6280" w:rsidRPr="002C6280" w:rsidRDefault="002C6280" w:rsidP="00B51D7E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731B1DCA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基础运动能力评估</w:t>
            </w:r>
          </w:p>
        </w:tc>
        <w:tc>
          <w:tcPr>
            <w:tcW w:w="1659" w:type="dxa"/>
          </w:tcPr>
          <w:p w14:paraId="7252BC26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平均运动速度</w:t>
            </w:r>
          </w:p>
        </w:tc>
        <w:tc>
          <w:tcPr>
            <w:tcW w:w="1659" w:type="dxa"/>
          </w:tcPr>
          <w:p w14:paraId="6B09020D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 xml:space="preserve">平均速度 = 总运动距离 / </w:t>
            </w:r>
            <w:proofErr w:type="gramStart"/>
            <w:r w:rsidRPr="002C6280">
              <w:rPr>
                <w:rFonts w:hint="eastAsia"/>
              </w:rPr>
              <w:t>总观察</w:t>
            </w:r>
            <w:proofErr w:type="gramEnd"/>
            <w:r w:rsidRPr="002C6280">
              <w:rPr>
                <w:rFonts w:hint="eastAsia"/>
              </w:rPr>
              <w:t>时间</w:t>
            </w:r>
          </w:p>
        </w:tc>
        <w:tc>
          <w:tcPr>
            <w:tcW w:w="1660" w:type="dxa"/>
          </w:tcPr>
          <w:p w14:paraId="53A09D7D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平均运动速度下降通常提示运动输出减弱；若伴随静止时间增加，</w:t>
            </w:r>
            <w:proofErr w:type="gramStart"/>
            <w:r w:rsidRPr="002C6280">
              <w:rPr>
                <w:rFonts w:hint="eastAsia"/>
              </w:rPr>
              <w:t>常支持</w:t>
            </w:r>
            <w:proofErr w:type="gramEnd"/>
            <w:r w:rsidRPr="002C6280">
              <w:rPr>
                <w:rFonts w:hint="eastAsia"/>
              </w:rPr>
              <w:t>活动抑制表型</w:t>
            </w:r>
          </w:p>
        </w:tc>
      </w:tr>
      <w:tr w:rsidR="002C6280" w:rsidRPr="002C6280" w14:paraId="4B7319D8" w14:textId="77777777">
        <w:tc>
          <w:tcPr>
            <w:tcW w:w="1659" w:type="dxa"/>
          </w:tcPr>
          <w:p w14:paraId="07D3F65B" w14:textId="77777777" w:rsidR="002C6280" w:rsidRPr="002C6280" w:rsidRDefault="002C6280" w:rsidP="00B51D7E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699EA459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活动抑制/镇静效应评估</w:t>
            </w:r>
          </w:p>
        </w:tc>
        <w:tc>
          <w:tcPr>
            <w:tcW w:w="1659" w:type="dxa"/>
          </w:tcPr>
          <w:p w14:paraId="0613D961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静止时间占比</w:t>
            </w:r>
          </w:p>
        </w:tc>
        <w:tc>
          <w:tcPr>
            <w:tcW w:w="1659" w:type="dxa"/>
          </w:tcPr>
          <w:p w14:paraId="4287190F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静止时间占比 = 静止时长 / 总测试时长 × 100%</w:t>
            </w:r>
          </w:p>
        </w:tc>
        <w:tc>
          <w:tcPr>
            <w:tcW w:w="1660" w:type="dxa"/>
          </w:tcPr>
          <w:p w14:paraId="53D91E7A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静止时间占比升高通常提示活动受抑或镇静样效应；需与毒性或发育迟缓区分</w:t>
            </w:r>
          </w:p>
        </w:tc>
      </w:tr>
      <w:tr w:rsidR="002C6280" w:rsidRPr="002C6280" w14:paraId="611E48B3" w14:textId="77777777">
        <w:tc>
          <w:tcPr>
            <w:tcW w:w="1659" w:type="dxa"/>
          </w:tcPr>
          <w:p w14:paraId="19B3400C" w14:textId="77777777" w:rsidR="002C6280" w:rsidRPr="002C6280" w:rsidRDefault="002C6280" w:rsidP="00B51D7E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0CACD844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焦虑样/回避</w:t>
            </w:r>
            <w:proofErr w:type="gramStart"/>
            <w:r w:rsidRPr="002C6280">
              <w:rPr>
                <w:rFonts w:hint="eastAsia"/>
              </w:rPr>
              <w:t>样行为</w:t>
            </w:r>
            <w:proofErr w:type="gramEnd"/>
            <w:r w:rsidRPr="002C6280">
              <w:rPr>
                <w:rFonts w:hint="eastAsia"/>
              </w:rPr>
              <w:t>评估</w:t>
            </w:r>
          </w:p>
        </w:tc>
        <w:tc>
          <w:tcPr>
            <w:tcW w:w="1659" w:type="dxa"/>
          </w:tcPr>
          <w:p w14:paraId="5DF15C41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边缘区时间占比</w:t>
            </w:r>
          </w:p>
        </w:tc>
        <w:tc>
          <w:tcPr>
            <w:tcW w:w="1659" w:type="dxa"/>
          </w:tcPr>
          <w:p w14:paraId="0F6D0242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边缘区时间占比 = 边缘区停留时间 / 总测试时间 × 100%</w:t>
            </w:r>
          </w:p>
        </w:tc>
        <w:tc>
          <w:tcPr>
            <w:tcW w:w="1660" w:type="dxa"/>
          </w:tcPr>
          <w:p w14:paraId="63FC4CE1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边缘区时间占比升高通常提示边缘偏好增强，可解释为回避样或焦虑</w:t>
            </w:r>
            <w:proofErr w:type="gramStart"/>
            <w:r w:rsidRPr="002C6280">
              <w:rPr>
                <w:rFonts w:hint="eastAsia"/>
              </w:rPr>
              <w:t>样行为</w:t>
            </w:r>
            <w:proofErr w:type="gramEnd"/>
            <w:r w:rsidRPr="002C6280">
              <w:rPr>
                <w:rFonts w:hint="eastAsia"/>
              </w:rPr>
              <w:t>增加；应结合总体活动水平解释</w:t>
            </w:r>
          </w:p>
        </w:tc>
      </w:tr>
      <w:tr w:rsidR="002C6280" w14:paraId="560C537B" w14:textId="77777777">
        <w:tc>
          <w:tcPr>
            <w:tcW w:w="1659" w:type="dxa"/>
          </w:tcPr>
          <w:p w14:paraId="61D7E99F" w14:textId="77777777" w:rsidR="002C6280" w:rsidRPr="002C6280" w:rsidRDefault="002C6280" w:rsidP="00B51D7E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332A5680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焦虑样/探索行为评估</w:t>
            </w:r>
          </w:p>
        </w:tc>
        <w:tc>
          <w:tcPr>
            <w:tcW w:w="1659" w:type="dxa"/>
          </w:tcPr>
          <w:p w14:paraId="7A4528E4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中心区进入次数</w:t>
            </w:r>
          </w:p>
        </w:tc>
        <w:tc>
          <w:tcPr>
            <w:tcW w:w="1659" w:type="dxa"/>
          </w:tcPr>
          <w:p w14:paraId="4A3E9C1A" w14:textId="77777777" w:rsidR="002C6280" w:rsidRP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中心区进入次数 = 测试期间进入中心区的总次数</w:t>
            </w:r>
          </w:p>
        </w:tc>
        <w:tc>
          <w:tcPr>
            <w:tcW w:w="1660" w:type="dxa"/>
          </w:tcPr>
          <w:p w14:paraId="5EF7733A" w14:textId="77777777" w:rsidR="002C6280" w:rsidRDefault="002C6280" w:rsidP="00B51D7E">
            <w:pPr>
              <w:rPr>
                <w:rFonts w:hint="eastAsia"/>
              </w:rPr>
            </w:pPr>
            <w:r w:rsidRPr="002C6280">
              <w:rPr>
                <w:rFonts w:hint="eastAsia"/>
              </w:rPr>
              <w:t>中心区进入次数减少通常提示探索下降或回避增加；若</w:t>
            </w:r>
            <w:proofErr w:type="gramStart"/>
            <w:r w:rsidRPr="002C6280">
              <w:rPr>
                <w:rFonts w:hint="eastAsia"/>
              </w:rPr>
              <w:t>总活动</w:t>
            </w:r>
            <w:proofErr w:type="gramEnd"/>
            <w:r w:rsidRPr="002C6280">
              <w:rPr>
                <w:rFonts w:hint="eastAsia"/>
              </w:rPr>
              <w:t>显著下降，需警惕运动能力混杂</w:t>
            </w:r>
          </w:p>
        </w:tc>
      </w:tr>
    </w:tbl>
    <w:p w14:paraId="015C6D85" w14:textId="1053BBD9" w:rsidR="00F87F7D" w:rsidRDefault="00F87F7D" w:rsidP="002C6280">
      <w:pPr>
        <w:rPr>
          <w:rFonts w:hint="eastAsia"/>
        </w:rPr>
      </w:pPr>
    </w:p>
    <w:sectPr w:rsidR="00F87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076"/>
    <w:rsid w:val="002C6280"/>
    <w:rsid w:val="00500F68"/>
    <w:rsid w:val="00653B7F"/>
    <w:rsid w:val="00803DD5"/>
    <w:rsid w:val="008A53C3"/>
    <w:rsid w:val="00E17076"/>
    <w:rsid w:val="00F8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427E32-BAE5-4F47-BCA7-68578DC2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70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0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0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0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0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0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0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0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0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0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0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70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0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0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0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0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0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0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0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0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0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07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62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力元 张</dc:creator>
  <cp:keywords/>
  <dc:description/>
  <cp:lastModifiedBy>力元 张</cp:lastModifiedBy>
  <cp:revision>2</cp:revision>
  <dcterms:created xsi:type="dcterms:W3CDTF">2026-04-21T13:01:00Z</dcterms:created>
  <dcterms:modified xsi:type="dcterms:W3CDTF">2026-04-21T13:01:00Z</dcterms:modified>
</cp:coreProperties>
</file>