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PingFang SC" w:hAnsi="PingFang SC" w:eastAsia="PingFang SC"/>
          <w:b/>
          <w:color w:val="0F766E"/>
          <w:sz w:val="22"/>
        </w:rPr>
        <w:t>第十五届中国软件杯 · A3 赛题</w:t>
      </w:r>
    </w:p>
    <w:p>
      <w:pPr>
        <w:pStyle w:val="Title"/>
        <w:jc w:val="center"/>
      </w:pPr>
      <w:r>
        <w:t>AI Coding 工具使用说明</w:t>
      </w:r>
    </w:p>
    <w:p>
      <w:pPr>
        <w:pStyle w:val="Subtitle"/>
        <w:jc w:val="center"/>
      </w:pPr>
      <w:r>
        <w:t>智学工坊 EduAgent Studio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1814"/>
            <w:shd w:fill="DDF4F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0F766E"/>
                <w:sz w:val="19"/>
              </w:rPr>
              <w:t>交付类型</w:t>
            </w:r>
          </w:p>
        </w:tc>
        <w:tc>
          <w:tcPr>
            <w:tcW w:type="dxa" w:w="6350"/>
            <w:shd w:fill="F5F8F9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r>
              <w:rPr>
                <w:rFonts w:ascii="PingFang SC" w:hAnsi="PingFang SC" w:eastAsia="PingFang SC"/>
                <w:sz w:val="19"/>
              </w:rPr>
              <w:t>AI Coding 工具使用说明</w:t>
            </w:r>
          </w:p>
        </w:tc>
      </w:tr>
      <w:tr>
        <w:tc>
          <w:tcPr>
            <w:tcW w:type="dxa" w:w="1814"/>
            <w:shd w:fill="DDF4F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0F766E"/>
                <w:sz w:val="19"/>
              </w:rPr>
              <w:t>赛题方向</w:t>
            </w:r>
          </w:p>
        </w:tc>
        <w:tc>
          <w:tcPr>
            <w:tcW w:type="dxa" w:w="6350"/>
            <w:shd w:fill="F5F8F9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r>
              <w:rPr>
                <w:rFonts w:ascii="PingFang SC" w:hAnsi="PingFang SC" w:eastAsia="PingFang SC"/>
                <w:sz w:val="19"/>
              </w:rPr>
              <w:t>基于大模型的个性化资源生成与学习多智能体系统</w:t>
            </w:r>
          </w:p>
        </w:tc>
      </w:tr>
      <w:tr>
        <w:tc>
          <w:tcPr>
            <w:tcW w:type="dxa" w:w="1814"/>
            <w:shd w:fill="DDF4F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0F766E"/>
                <w:sz w:val="19"/>
              </w:rPr>
              <w:t>文档版本</w:t>
            </w:r>
          </w:p>
        </w:tc>
        <w:tc>
          <w:tcPr>
            <w:tcW w:type="dxa" w:w="6350"/>
            <w:shd w:fill="F5F8F9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r>
              <w:rPr>
                <w:rFonts w:ascii="PingFang SC" w:hAnsi="PingFang SC" w:eastAsia="PingFang SC"/>
                <w:sz w:val="19"/>
              </w:rPr>
              <w:t>V2.1</w:t>
            </w:r>
          </w:p>
        </w:tc>
      </w:tr>
      <w:tr>
        <w:tc>
          <w:tcPr>
            <w:tcW w:type="dxa" w:w="1814"/>
            <w:shd w:fill="DDF4F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0F766E"/>
                <w:sz w:val="19"/>
              </w:rPr>
              <w:t>核对日期</w:t>
            </w:r>
          </w:p>
        </w:tc>
        <w:tc>
          <w:tcPr>
            <w:tcW w:type="dxa" w:w="6350"/>
            <w:shd w:fill="F5F8F9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r>
              <w:rPr>
                <w:rFonts w:ascii="PingFang SC" w:hAnsi="PingFang SC" w:eastAsia="PingFang SC"/>
                <w:sz w:val="19"/>
              </w:rPr>
              <w:t>2026-07-17</w:t>
            </w:r>
          </w:p>
        </w:tc>
      </w:tr>
    </w:tbl>
    <w:p/>
    <w:p>
      <w:pPr>
        <w:jc w:val="center"/>
      </w:pPr>
      <w:r>
        <w:rPr>
          <w:rFonts w:ascii="PingFang SC" w:hAnsi="PingFang SC" w:eastAsia="PingFang SC"/>
          <w:i/>
          <w:color w:val="607080"/>
          <w:sz w:val="18"/>
        </w:rPr>
        <w:t>以当前 main 分支代码、数据库迁移、自动化测试和真实运行结果为准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DDF4F0"/>
            <w:tcMar>
              <w:top w:w="100" w:type="dxa"/>
              <w:start w:w="180" w:type="dxa"/>
              <w:bottom w:w="100" w:type="dxa"/>
              <w:end w:w="18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i/>
                <w:color w:val="0F766E"/>
              </w:rPr>
              <w:t>项目：智学工坊 EduAgent Studio ·  · 赛题：A3 基于大模型的个性化资源生成与学习多智能体系统开发 ·  · 文档版本：V2.1，2026-07-17</w:t>
            </w:r>
          </w:p>
        </w:tc>
      </w:tr>
    </w:tbl>
    <w:p>
      <w:pPr>
        <w:pStyle w:val="Heading1"/>
      </w:pPr>
      <w:r>
        <w:rPr>
          <w:rFonts w:ascii="PingFang SC" w:hAnsi="PingFang SC" w:eastAsia="PingFang SC"/>
        </w:rPr>
        <w:t>1. 使用工具与边界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cantSplit/>
          <w:tblHeader w:val="true"/>
        </w:trPr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17202A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</w:rPr>
              <w:t>工具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17202A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</w:rPr>
              <w:t>在项目中的用途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17202A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</w:rPr>
              <w:t>交付边界</w:t>
            </w:r>
          </w:p>
        </w:tc>
      </w:tr>
      <w:tr>
        <w:trPr>
          <w:cantSplit/>
        </w:trPr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Cursor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代码阅读、跨文件编辑、局部重构和交互式调试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不直接决定业务规则或跳过人工复核</w:t>
            </w:r>
          </w:p>
        </w:tc>
      </w:tr>
      <w:tr>
        <w:trPr>
          <w:cantSplit/>
        </w:trPr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OpenAI Codex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远程代码审计、问题修复、自动化测试、浏览器验证和文档同步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所有修改经 Git diff、针对性测试和全量门禁验证</w:t>
            </w:r>
          </w:p>
        </w:tc>
      </w:tr>
      <w:tr>
        <w:trPr>
          <w:cantSplit/>
        </w:trPr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ChatGPT/Claude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需求拆解、方案比较、文档初稿和风险检查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输出仅作候选方案，以赛题、代码和测试结果为最终依据</w:t>
            </w:r>
          </w:p>
        </w:tc>
      </w:tr>
    </w:tbl>
    <w:p>
      <w:pPr>
        <w:spacing w:after="40"/>
      </w:pPr>
    </w:p>
    <w:p>
      <w:r>
        <w:rPr>
          <w:rFonts w:ascii="PingFang SC" w:hAnsi="PingFang SC" w:eastAsia="PingFang SC"/>
        </w:rPr>
        <w:t>AI Coding 工具只进入软件工程流程，不代替教师对教学内容的审核，也不代替开发者对安全、数据一致性和发布质量的责任。</w:t>
      </w:r>
    </w:p>
    <w:p>
      <w:pPr>
        <w:pStyle w:val="Heading1"/>
      </w:pPr>
      <w:r>
        <w:rPr>
          <w:rFonts w:ascii="PingFang SC" w:hAnsi="PingFang SC" w:eastAsia="PingFang SC"/>
        </w:rPr>
        <w:t>2. 实际使用场景</w:t>
      </w:r>
    </w:p>
    <w:p>
      <w:pPr>
        <w:pStyle w:val="Heading2"/>
      </w:pPr>
      <w:r>
        <w:rPr>
          <w:rFonts w:ascii="PingFang SC" w:hAnsi="PingFang SC" w:eastAsia="PingFang SC"/>
        </w:rPr>
        <w:t>2.1 需求与架构</w:t>
      </w:r>
    </w:p>
    <w:p>
      <w:pPr>
        <w:pStyle w:val="ListBullet"/>
      </w:pPr>
      <w:r>
        <w:rPr>
          <w:rFonts w:ascii="PingFang SC" w:hAnsi="PingFang SC" w:eastAsia="PingFang SC"/>
        </w:rPr>
        <w:t>从 A3 赛题原文拆解学生画像、多智能体、个性化资源、学习路径、课程知识库与教师审核等验收项。</w:t>
      </w:r>
    </w:p>
    <w:p>
      <w:pPr>
        <w:pStyle w:val="ListBullet"/>
      </w:pPr>
      <w:r>
        <w:rPr>
          <w:rFonts w:ascii="PingFang SC" w:hAnsi="PingFang SC" w:eastAsia="PingFang SC"/>
        </w:rPr>
        <w:t>对照现有 React/FastAPI/MySQL 代码确定改造范围，避免将早期 Vue/PostgreSQL 方案误写为当前架构。</w:t>
      </w:r>
    </w:p>
    <w:p>
      <w:pPr>
        <w:pStyle w:val="ListBullet"/>
      </w:pPr>
      <w:r>
        <w:rPr>
          <w:rFonts w:ascii="PingFang SC" w:hAnsi="PingFang SC" w:eastAsia="PingFang SC"/>
        </w:rPr>
        <w:t>以三类角色的真实任务闭环检查页面，不以截图视觉完整代替业务可用性。</w:t>
      </w:r>
    </w:p>
    <w:p>
      <w:pPr>
        <w:pStyle w:val="Heading2"/>
      </w:pPr>
      <w:r>
        <w:rPr>
          <w:rFonts w:ascii="PingFang SC" w:hAnsi="PingFang SC" w:eastAsia="PingFang SC"/>
        </w:rPr>
        <w:t>2.2 功能实现</w:t>
      </w:r>
    </w:p>
    <w:p>
      <w:pPr>
        <w:pStyle w:val="ListBullet"/>
      </w:pPr>
      <w:r>
        <w:rPr>
          <w:rFonts w:ascii="PingFang SC" w:hAnsi="PingFang SC" w:eastAsia="PingFang SC"/>
        </w:rPr>
        <w:t>辅助建立 Router → Service → Repository 的后端分层，使用参数化 SQL 访问 MySQL。</w:t>
      </w:r>
    </w:p>
    <w:p>
      <w:pPr>
        <w:pStyle w:val="ListBullet"/>
      </w:pPr>
      <w:r>
        <w:rPr>
          <w:rFonts w:ascii="PingFang SC" w:hAnsi="PingFang SC" w:eastAsia="PingFang SC"/>
        </w:rPr>
        <w:t>辅助实现 React 页面、Zustand 状态、统一 API 客户端、路由权限和响应式布局。</w:t>
      </w:r>
    </w:p>
    <w:p>
      <w:pPr>
        <w:pStyle w:val="ListBullet"/>
      </w:pPr>
      <w:r>
        <w:rPr>
          <w:rFonts w:ascii="PingFang SC" w:hAnsi="PingFang SC" w:eastAsia="PingFang SC"/>
        </w:rPr>
        <w:t>辅助实现 LangGraph 智能体工作流、LLM Gateway、SSE 进度事件、RAG 检索与资源证据链。</w:t>
      </w:r>
    </w:p>
    <w:p>
      <w:pPr>
        <w:pStyle w:val="ListBullet"/>
      </w:pPr>
      <w:r>
        <w:rPr>
          <w:rFonts w:ascii="PingFang SC" w:hAnsi="PingFang SC" w:eastAsia="PingFang SC"/>
        </w:rPr>
        <w:t>辅助将历史假数据页面改为真实 API 动作，并在测试后清理临时账号、资源、画像和会话数据。</w:t>
      </w:r>
    </w:p>
    <w:p>
      <w:pPr>
        <w:pStyle w:val="Heading2"/>
      </w:pPr>
      <w:r>
        <w:rPr>
          <w:rFonts w:ascii="PingFang SC" w:hAnsi="PingFang SC" w:eastAsia="PingFang SC"/>
        </w:rPr>
        <w:t>2.3 质量与安全</w:t>
      </w:r>
    </w:p>
    <w:p>
      <w:pPr>
        <w:pStyle w:val="ListBullet"/>
      </w:pPr>
      <w:r>
        <w:rPr>
          <w:rFonts w:ascii="PingFang SC" w:hAnsi="PingFang SC" w:eastAsia="PingFang SC"/>
        </w:rPr>
        <w:t>根据失败用例生成最小修复，要求每个问题独立提交，便于审查和回滚。</w:t>
      </w:r>
    </w:p>
    <w:p>
      <w:pPr>
        <w:pStyle w:val="ListBullet"/>
      </w:pPr>
      <w:r>
        <w:rPr>
          <w:rFonts w:ascii="PingFang SC" w:hAnsi="PingFang SC" w:eastAsia="PingFang SC"/>
        </w:rPr>
        <w:t>补齐认证会话、越权访问、上传验证、调用参数、内容安全、RAG 召回和数据库迁移等自动化测试。</w:t>
      </w:r>
    </w:p>
    <w:p>
      <w:pPr>
        <w:pStyle w:val="ListBullet"/>
      </w:pPr>
      <w:r>
        <w:rPr>
          <w:rFonts w:ascii="PingFang SC" w:hAnsi="PingFang SC" w:eastAsia="PingFang SC"/>
        </w:rPr>
        <w:t>使用桌面和移动视口进行浏览器复核，检查路由、无名图标控件、横向溢出和控制台异常。</w:t>
      </w:r>
    </w:p>
    <w:p>
      <w:pPr>
        <w:pStyle w:val="ListBullet"/>
      </w:pPr>
      <w:r>
        <w:rPr>
          <w:rFonts w:ascii="PingFang SC" w:hAnsi="PingFang SC" w:eastAsia="PingFang SC"/>
        </w:rPr>
        <w:t>对依赖、构建、健康端点和数据库连接执行发布前验证。</w:t>
      </w:r>
    </w:p>
    <w:p>
      <w:pPr>
        <w:pStyle w:val="Heading1"/>
      </w:pPr>
      <w:r>
        <w:rPr>
          <w:rFonts w:ascii="PingFang SC" w:hAnsi="PingFang SC" w:eastAsia="PingFang SC"/>
        </w:rPr>
        <w:t>3. 标准工作流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EEF2F4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PingFang SC"/>
                <w:color w:val="202B37"/>
                <w:sz w:val="17"/>
              </w:rPr>
              <w:t>赛题或产品需求</w:t>
              <w:br/>
              <w:t xml:space="preserve">  → 阅读当前代码和数据模型</w:t>
              <w:br/>
              <w:t xml:space="preserve">  → 确定可验收的行为与失败条件</w:t>
              <w:br/>
              <w:t xml:space="preserve">  → 实施最小范围修改</w:t>
              <w:br/>
              <w:t xml:space="preserve">  → 运行针对性测试和代码检查</w:t>
              <w:br/>
              <w:t xml:space="preserve">  → 独立 Git 提交</w:t>
              <w:br/>
              <w:t xml:space="preserve">  → 完成同等级问题后执行全量门禁并推送</w:t>
              <w:br/>
              <w:t xml:space="preserve">  → 同步文档与参赛材料</w:t>
            </w:r>
          </w:p>
        </w:tc>
      </w:tr>
    </w:tbl>
    <w:p>
      <w:pPr>
        <w:spacing w:after="40"/>
      </w:pPr>
    </w:p>
    <w:p>
      <w:r>
        <w:rPr>
          <w:rFonts w:ascii="PingFang SC" w:hAnsi="PingFang SC" w:eastAsia="PingFang SC"/>
        </w:rPr>
        <w:t>关键原则：</w:t>
      </w:r>
    </w:p>
    <w:p>
      <w:pPr>
        <w:pStyle w:val="ListNumber"/>
      </w:pPr>
      <w:r>
        <w:rPr>
          <w:rFonts w:ascii="PingFang SC" w:hAnsi="PingFang SC" w:eastAsia="PingFang SC"/>
        </w:rPr>
        <w:t>先阅读现有实现，再生成或修改代码。</w:t>
      </w:r>
    </w:p>
    <w:p>
      <w:pPr>
        <w:pStyle w:val="ListNumber"/>
      </w:pPr>
      <w:r>
        <w:rPr>
          <w:rFonts w:ascii="PingFang SC" w:hAnsi="PingFang SC" w:eastAsia="PingFang SC"/>
        </w:rPr>
        <w:t>每次修复必须能由测试、API 响应、数据库状态或浏览器行为验证。</w:t>
      </w:r>
    </w:p>
    <w:p>
      <w:pPr>
        <w:pStyle w:val="ListNumber"/>
      </w:pPr>
      <w:r>
        <w:rPr>
          <w:rFonts w:ascii="PingFang SC" w:hAnsi="PingFang SC" w:eastAsia="PingFang SC"/>
        </w:rPr>
        <w:t>不为了通过测试伪造结果，不把 Mock Provider 的结果宣称为真实讯飞调用。</w:t>
      </w:r>
    </w:p>
    <w:p>
      <w:pPr>
        <w:pStyle w:val="ListNumber"/>
      </w:pPr>
      <w:r>
        <w:rPr>
          <w:rFonts w:ascii="PingFang SC" w:hAnsi="PingFang SC" w:eastAsia="PingFang SC"/>
        </w:rPr>
        <w:t>不覆盖与当前问题无关的未提交修改。</w:t>
      </w:r>
    </w:p>
    <w:p>
      <w:pPr>
        <w:pStyle w:val="Heading1"/>
      </w:pPr>
      <w:r>
        <w:rPr>
          <w:rFonts w:ascii="PingFang SC" w:hAnsi="PingFang SC" w:eastAsia="PingFang SC"/>
        </w:rPr>
        <w:t>4. 代码与数据规范</w:t>
      </w:r>
    </w:p>
    <w:p>
      <w:pPr>
        <w:pStyle w:val="Heading2"/>
      </w:pPr>
      <w:r>
        <w:rPr>
          <w:rFonts w:ascii="PingFang SC" w:hAnsi="PingFang SC" w:eastAsia="PingFang SC"/>
        </w:rPr>
        <w:t>4.1 前端</w:t>
      </w:r>
    </w:p>
    <w:p>
      <w:pPr>
        <w:pStyle w:val="ListBullet"/>
      </w:pPr>
      <w:r>
        <w:rPr>
          <w:rFonts w:ascii="PingFang SC" w:hAnsi="PingFang SC" w:eastAsia="PingFang SC"/>
        </w:rPr>
        <w:t>React 18 + TypeScript + Vite，组件、路由和 API 类型保持一致。</w:t>
      </w:r>
    </w:p>
    <w:p>
      <w:pPr>
        <w:pStyle w:val="ListBullet"/>
      </w:pPr>
      <w:r>
        <w:rPr>
          <w:rFonts w:ascii="PingFang SC" w:hAnsi="PingFang SC" w:eastAsia="PingFang SC"/>
        </w:rPr>
        <w:t>认证状态由 Zustand store 统一管理，Axios 拦截器负责注入 Token 和处理会话失效。</w:t>
      </w:r>
    </w:p>
    <w:p>
      <w:pPr>
        <w:pStyle w:val="ListBullet"/>
      </w:pPr>
      <w:r>
        <w:rPr>
          <w:rFonts w:ascii="PingFang SC" w:hAnsi="PingFang SC" w:eastAsia="PingFang SC"/>
        </w:rPr>
        <w:t>所有图标按钮必须有可访问名称，三类角色页面必须在桌面与移动宽度下可用。</w:t>
      </w:r>
    </w:p>
    <w:p>
      <w:pPr>
        <w:pStyle w:val="ListBullet"/>
      </w:pPr>
      <w:r>
        <w:rPr>
          <w:rFonts w:ascii="PingFang SC" w:hAnsi="PingFang SC" w:eastAsia="PingFang SC"/>
        </w:rPr>
        <w:t>Markdown 内容在渲染前进行消毒，不信任模型或用户输入的 HTML。</w:t>
      </w:r>
    </w:p>
    <w:p>
      <w:pPr>
        <w:pStyle w:val="Heading2"/>
      </w:pPr>
      <w:r>
        <w:rPr>
          <w:rFonts w:ascii="PingFang SC" w:hAnsi="PingFang SC" w:eastAsia="PingFang SC"/>
        </w:rPr>
        <w:t>4.2 后端</w:t>
      </w:r>
    </w:p>
    <w:p>
      <w:pPr>
        <w:pStyle w:val="ListBullet"/>
      </w:pPr>
      <w:r>
        <w:rPr>
          <w:rFonts w:ascii="PingFang SC" w:hAnsi="PingFang SC" w:eastAsia="PingFang SC"/>
        </w:rPr>
        <w:t>FastAPI Router 处理请求与权限，Service 处理业务规则，Repository 使用参数化 SQL 访问 MySQL。</w:t>
      </w:r>
    </w:p>
    <w:p>
      <w:pPr>
        <w:pStyle w:val="ListBullet"/>
      </w:pPr>
      <w:r>
        <w:rPr>
          <w:rFonts w:ascii="PingFang SC" w:hAnsi="PingFang SC" w:eastAsia="PingFang SC"/>
        </w:rPr>
        <w:t>资源、画像、学习进度和会话变更必须落库，同时维持业务所有权和角色权限。</w:t>
      </w:r>
    </w:p>
    <w:p>
      <w:pPr>
        <w:pStyle w:val="ListBullet"/>
      </w:pPr>
      <w:r>
        <w:rPr>
          <w:rFonts w:ascii="PingFang SC" w:hAnsi="PingFang SC" w:eastAsia="PingFang SC"/>
        </w:rPr>
        <w:t>LLM 统一经由 Gateway 调用，密钥加密保存，输入与输出在启用时执行内容安全扫描。</w:t>
      </w:r>
    </w:p>
    <w:p>
      <w:pPr>
        <w:pStyle w:val="ListBullet"/>
      </w:pPr>
      <w:r>
        <w:rPr>
          <w:rFonts w:ascii="PingFang SC" w:hAnsi="PingFang SC" w:eastAsia="PingFang SC"/>
        </w:rPr>
        <w:t>RAG 引用必须对应数据库中存在的文档分块；没有可用证据时，结果降级为草稿而不伪造引用。</w:t>
      </w:r>
    </w:p>
    <w:p>
      <w:pPr>
        <w:pStyle w:val="Heading2"/>
      </w:pPr>
      <w:r>
        <w:rPr>
          <w:rFonts w:ascii="PingFang SC" w:hAnsi="PingFang SC" w:eastAsia="PingFang SC"/>
        </w:rPr>
        <w:t>4.3 密钥与测试数据</w:t>
      </w:r>
    </w:p>
    <w:p>
      <w:pPr>
        <w:pStyle w:val="ListBullet"/>
      </w:pPr>
      <w:r>
        <w:rPr>
          <w:rFonts w:ascii="PingFang SC" w:hAnsi="PingFang SC" w:eastAsia="PingFang SC"/>
        </w:rPr>
        <w:t xml:space="preserve">真实 API Key、密码、JWT 密钥和数据库口令只通过未跟踪的 </w:t>
      </w:r>
      <w:r>
        <w:rPr>
          <w:rFonts w:ascii="Menlo" w:hAnsi="Menlo" w:eastAsia="PingFang SC"/>
          <w:color w:val="2563EB"/>
          <w:sz w:val="18"/>
          <w:shd w:fill="EAF1FF"/>
        </w:rPr>
        <w:t>.env</w:t>
      </w:r>
      <w:r>
        <w:rPr>
          <w:rFonts w:ascii="PingFang SC" w:hAnsi="PingFang SC" w:eastAsia="PingFang SC"/>
        </w:rPr>
        <w:t xml:space="preserve"> 或部署密钥管理器注入。</w:t>
      </w:r>
    </w:p>
    <w:p>
      <w:pPr>
        <w:pStyle w:val="ListBullet"/>
      </w:pPr>
      <w:r>
        <w:rPr>
          <w:rFonts w:ascii="PingFang SC" w:hAnsi="PingFang SC" w:eastAsia="PingFang SC"/>
        </w:rPr>
        <w:t>不向 Prompt 提供生产密钥、真实学生隐私或无关的数据库记录。</w:t>
      </w:r>
    </w:p>
    <w:p>
      <w:pPr>
        <w:pStyle w:val="ListBullet"/>
      </w:pPr>
      <w:r>
        <w:rPr>
          <w:rFonts w:ascii="PingFang SC" w:hAnsi="PingFang SC" w:eastAsia="PingFang SC"/>
        </w:rPr>
        <w:t>端到端验证使用临时账号和唯一标识，验证后删除并恢复受影响的课程、资源和会话状态。</w:t>
      </w:r>
    </w:p>
    <w:p>
      <w:pPr>
        <w:pStyle w:val="Heading1"/>
      </w:pPr>
      <w:r>
        <w:rPr>
          <w:rFonts w:ascii="PingFang SC" w:hAnsi="PingFang SC" w:eastAsia="PingFang SC"/>
        </w:rPr>
        <w:t>5. 验证门禁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EEF2F4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PingFang SC"/>
                <w:color w:val="202B37"/>
                <w:sz w:val="17"/>
              </w:rPr>
              <w:t># 后端</w:t>
              <w:br/>
              <w:t>cd backend</w:t>
              <w:br/>
              <w:t>PYTHONPATH=. python -m unittest discover -s tests -v</w:t>
              <w:br/>
              <w:t>python -m compileall -q app tests</w:t>
              <w:br/>
              <w:t>pip check</w:t>
              <w:br/>
              <w:br/>
              <w:t># 前端</w:t>
              <w:br/>
              <w:t>cd frontend</w:t>
              <w:br/>
              <w:t>npm run lint</w:t>
              <w:br/>
              <w:t>npm run build</w:t>
              <w:br/>
              <w:t>npm audit --omit=dev</w:t>
              <w:br/>
              <w:br/>
              <w:t># 运行状态</w:t>
              <w:br/>
              <w:t>curl http://127.0.0.1:8000/api/health</w:t>
              <w:br/>
              <w:t>curl http://127.0.0.1:8000/api/health/db</w:t>
              <w:br/>
              <w:t>curl http://127.0.0.1:8000/api/health/redis</w:t>
            </w:r>
          </w:p>
        </w:tc>
      </w:tr>
    </w:tbl>
    <w:p>
      <w:pPr>
        <w:spacing w:after="40"/>
      </w:pPr>
    </w:p>
    <w:p>
      <w:r>
        <w:rPr>
          <w:rFonts w:ascii="PingFang SC" w:hAnsi="PingFang SC" w:eastAsia="PingFang SC"/>
        </w:rPr>
        <w:t xml:space="preserve">截至 2026-07-17，当前基线已通过 271 项后端自动化测试、前端类型/构建检查和三角色路由浏览器复核。测试范围与外部依赖边界见 </w:t>
      </w:r>
      <w:r>
        <w:rPr>
          <w:rFonts w:ascii="Menlo" w:hAnsi="Menlo" w:eastAsia="PingFang SC"/>
          <w:color w:val="2563EB"/>
          <w:sz w:val="18"/>
          <w:shd w:fill="EAF1FF"/>
        </w:rPr>
        <w:t>docs/测试说明书.md</w:t>
      </w:r>
      <w:r>
        <w:rPr>
          <w:rFonts w:ascii="PingFang SC" w:hAnsi="PingFang SC" w:eastAsia="PingFang SC"/>
        </w:rPr>
        <w:t>。</w:t>
      </w:r>
    </w:p>
    <w:p>
      <w:pPr>
        <w:pStyle w:val="Heading1"/>
      </w:pPr>
      <w:r>
        <w:rPr>
          <w:rFonts w:ascii="PingFang SC" w:hAnsi="PingFang SC" w:eastAsia="PingFang SC"/>
        </w:rPr>
        <w:t>6. 人工复核与责任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cantSplit/>
          <w:tblHeader w:val="true"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17202A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</w:rPr>
              <w:t>复核项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17202A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</w:rPr>
              <w:t>责任人工作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赛题符合性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逐项对照赛题原文和实际运行证据，不扩大宣传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教学准确性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教师审核 AI 生成资源、知识点关联和发布状态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代码质量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审查 diff、提交范围、边界条件和失败分支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安全与隐私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检查密钥管理、最小权限、敏感数据与日志脱敏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发布决策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只在全量门禁通过且外部配置齐备时建立竞赛发布包</w:t>
            </w:r>
          </w:p>
        </w:tc>
      </w:tr>
    </w:tbl>
    <w:p>
      <w:pPr>
        <w:spacing w:after="40"/>
      </w:pPr>
    </w:p>
    <w:p>
      <w:r>
        <w:rPr>
          <w:rFonts w:ascii="PingFang SC" w:hAnsi="PingFang SC" w:eastAsia="PingFang SC"/>
        </w:rPr>
        <w:t>AI Coding 提高了定位、实现和验证效率，但项目的产品选择、教学质量、安全责任和最终提交仍由参赛团队承担。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134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PingFang SC" w:hAnsi="PingFang SC" w:eastAsia="PingFang SC"/>
        <w:color w:val="60708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PingFang SC" w:hAnsi="PingFang SC" w:eastAsia="PingFang SC"/>
        <w:color w:val="6070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ptos" w:hAnsi="Aptos" w:eastAsia="Aptos"/>
        <w:color w:val="607080"/>
        <w:sz w:val="16"/>
      </w:rPr>
      <w:t>EDUAGENT STUDIO  ·  A3 CONTEST DELIVERY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PingFang SC" w:hAnsi="PingFang SC" w:eastAsia="PingFang SC"/>
      <w:color w:val="202B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17202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0F766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2B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/>
      <w:outlineLvl w:val="3"/>
    </w:pPr>
    <w:rPr>
      <w:rFonts w:asciiTheme="majorHAnsi" w:eastAsiaTheme="majorEastAsia" w:hAnsiTheme="majorHAnsi" w:cstheme="majorBidi" w:ascii="PingFang SC" w:hAnsi="PingFang SC" w:eastAsia="PingFang SC"/>
      <w:b/>
      <w:bCs/>
      <w:i/>
      <w:iCs/>
      <w:color w:val="60708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 w:before="0"/>
      <w:contextualSpacing/>
    </w:pPr>
    <w:rPr>
      <w:rFonts w:asciiTheme="majorHAnsi" w:eastAsiaTheme="majorEastAsia" w:hAnsiTheme="majorHAnsi" w:cstheme="majorBidi" w:ascii="PingFang SC" w:hAnsi="PingFang SC" w:eastAsia="PingFang SC"/>
      <w:b/>
      <w:color w:val="17202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PingFang SC" w:hAnsi="PingFang SC" w:eastAsia="PingFang SC"/>
      <w:b/>
      <w:i/>
      <w:iCs/>
      <w:color w:val="60708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69" w:hanging="198"/>
      <w:contextualSpacing/>
    </w:pPr>
    <w:rPr>
      <w:rFonts w:ascii="PingFang SC" w:hAnsi="PingFang SC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369" w:hanging="198"/>
      <w:contextualSpacing/>
    </w:pPr>
    <w:rPr>
      <w:rFonts w:ascii="PingFang SC" w:hAnsi="PingFang SC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Coding 工具使用说明</dc:title>
  <dc:subject>EduAgent Studio 中国软件杯 A3 参赛材料</dc:subject>
  <dc:creator>EduAgent Studio 参赛团队</dc:creator>
  <cp:keywords>EduAgent Studio, A3, 多智能体, 个性化学习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