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t xml:space="preserve">ĐẠI HỌC QUỐC GIA THÀNH PHỐ HỒ CHÍ MINH</w:t>
      </w:r>
    </w:p>
    <w:p>
      <w:pPr>
        <w:spacing w:after="20"/>
        <w:jc w:val="center"/>
      </w:pPr>
      <w:r>
        <w:t xml:space="preserve">TRƯỜNG ĐẠI HỌC CÔNG NGHỆ THÔNG TIN</w:t>
      </w:r>
    </w:p>
    <w:p>
      <w:pPr>
        <w:spacing w:after="300"/>
        <w:jc w:val="center"/>
      </w:pPr>
      <w:r>
        <w:t xml:space="preserve">KHOA KHOA HỌC VÀ KỸ THUẬT THÔNG TIN</w:t>
      </w:r>
    </w:p>
    <w:p>
      <w:pPr>
        <w:spacing w:after="120"/>
        <w:jc w:val="center"/>
      </w:pPr>
      <w:r>
        <w:rPr>
          <w:b/>
          <w:bCs/>
          <w:sz w:val="36"/>
          <w:szCs w:val="36"/>
        </w:rPr>
        <w:t xml:space="preserve">THUYẾT MINH ĐỀ TÀI</w:t>
      </w:r>
    </w:p>
    <w:p>
      <w:pPr>
        <w:spacing w:after="400"/>
        <w:jc w:val="center"/>
      </w:pPr>
      <w:r>
        <w:rPr>
          <w:i/>
          <w:iCs/>
          <w:sz w:val="24"/>
          <w:szCs w:val="24"/>
        </w:rPr>
        <w:t xml:space="preserve">Môn học: DS317 – Khai phá dữ liệu trong doanh nghiệp</w:t>
      </w:r>
    </w:p>
    <w:p>
      <w:pPr>
        <w:pStyle w:val="Heading1"/>
        <w:spacing w:after="150" w:before="300"/>
      </w:pPr>
      <w:r>
        <w:t xml:space="preserve">PHẦN A. THÔNG TIN HÀNH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D9D9D9" w:val="clear"/>
            <w:tcMar>
              <w:top w:type="dxa" w:w="60"/>
              <w:left w:type="dxa" w:w="100"/>
              <w:bottom w:type="dxa" w:w="60"/>
              <w:right w:type="dxa" w:w="100"/>
            </w:tcMar>
            <w:vAlign w:val="center"/>
          </w:tcPr>
          <w:p>
            <w:pPr>
              <w:spacing w:after="40"/>
            </w:pPr>
            <w:r>
              <w:rPr>
                <w:b/>
                <w:bCs/>
              </w:rPr>
              <w:t xml:space="preserve">Mục</w:t>
            </w:r>
          </w:p>
        </w:tc>
        <w:tc>
          <w:tcPr>
            <w:tcW w:type="dxa" w:w="6526"/>
            <w:shd w:fill="D9D9D9" w:val="clear"/>
            <w:tcMar>
              <w:top w:type="dxa" w:w="60"/>
              <w:left w:type="dxa" w:w="100"/>
              <w:bottom w:type="dxa" w:w="60"/>
              <w:right w:type="dxa" w:w="100"/>
            </w:tcMar>
            <w:vAlign w:val="center"/>
          </w:tcPr>
          <w:p>
            <w:pPr>
              <w:spacing w:after="40"/>
            </w:pPr>
            <w:r>
              <w:rPr>
                <w:b/>
                <w:bCs/>
              </w:rPr>
              <w:t xml:space="preserve">Nội dung</w:t>
            </w:r>
          </w:p>
        </w:tc>
      </w:tr>
      <w:tr>
        <w:tc>
          <w:tcPr>
            <w:tcW w:type="dxa" w:w="2500"/>
            <w:tcMar>
              <w:top w:type="dxa" w:w="60"/>
              <w:left w:type="dxa" w:w="100"/>
              <w:bottom w:type="dxa" w:w="60"/>
              <w:right w:type="dxa" w:w="100"/>
            </w:tcMar>
            <w:vAlign w:val="center"/>
          </w:tcPr>
          <w:p>
            <w:pPr>
              <w:spacing w:after="40"/>
            </w:pPr>
            <w:r>
              <w:t xml:space="preserve">Tên đề tài (tiếng Việt)</w:t>
            </w:r>
          </w:p>
        </w:tc>
        <w:tc>
          <w:tcPr>
            <w:tcW w:type="dxa" w:w="6526"/>
            <w:tcMar>
              <w:top w:type="dxa" w:w="60"/>
              <w:left w:type="dxa" w:w="100"/>
              <w:bottom w:type="dxa" w:w="60"/>
              <w:right w:type="dxa" w:w="100"/>
            </w:tcMar>
            <w:vAlign w:val="center"/>
          </w:tcPr>
          <w:p>
            <w:pPr>
              <w:spacing w:after="40"/>
            </w:pPr>
            <w:r>
              <w:t xml:space="preserve">Dự báo doanh số bán lẻ đa cấp bậc (store – department) trên bộ dữ liệu M5 (Walmart) hỗ trợ tối ưu tồn kho</w:t>
            </w:r>
          </w:p>
        </w:tc>
      </w:tr>
      <w:tr>
        <w:tc>
          <w:tcPr>
            <w:tcW w:type="dxa" w:w="2500"/>
            <w:tcMar>
              <w:top w:type="dxa" w:w="60"/>
              <w:left w:type="dxa" w:w="100"/>
              <w:bottom w:type="dxa" w:w="60"/>
              <w:right w:type="dxa" w:w="100"/>
            </w:tcMar>
            <w:vAlign w:val="center"/>
          </w:tcPr>
          <w:p>
            <w:pPr>
              <w:spacing w:after="40"/>
            </w:pPr>
            <w:r>
              <w:t xml:space="preserve">Tên đề tài (tiếng Anh)</w:t>
            </w:r>
          </w:p>
        </w:tc>
        <w:tc>
          <w:tcPr>
            <w:tcW w:type="dxa" w:w="6526"/>
            <w:tcMar>
              <w:top w:type="dxa" w:w="60"/>
              <w:left w:type="dxa" w:w="100"/>
              <w:bottom w:type="dxa" w:w="60"/>
              <w:right w:type="dxa" w:w="100"/>
            </w:tcMar>
            <w:vAlign w:val="center"/>
          </w:tcPr>
          <w:p>
            <w:pPr>
              <w:spacing w:after="40"/>
            </w:pPr>
            <w:r>
              <w:t xml:space="preserve">Hierarchical Retail Sales Forecasting on the M5 (Walmart) Dataset for Inventory Optimization</w:t>
            </w:r>
          </w:p>
        </w:tc>
      </w:tr>
      <w:tr>
        <w:tc>
          <w:tcPr>
            <w:tcW w:type="dxa" w:w="2500"/>
            <w:tcMar>
              <w:top w:type="dxa" w:w="60"/>
              <w:left w:type="dxa" w:w="100"/>
              <w:bottom w:type="dxa" w:w="60"/>
              <w:right w:type="dxa" w:w="100"/>
            </w:tcMar>
            <w:vAlign w:val="center"/>
          </w:tcPr>
          <w:p>
            <w:pPr>
              <w:spacing w:after="40"/>
            </w:pPr>
            <w:r>
              <w:t xml:space="preserve">Nhóm thực hiện</w:t>
            </w:r>
          </w:p>
        </w:tc>
        <w:tc>
          <w:tcPr>
            <w:tcW w:type="dxa" w:w="6526"/>
            <w:tcMar>
              <w:top w:type="dxa" w:w="60"/>
              <w:left w:type="dxa" w:w="100"/>
              <w:bottom w:type="dxa" w:w="60"/>
              <w:right w:type="dxa" w:w="100"/>
            </w:tcMar>
            <w:vAlign w:val="center"/>
          </w:tcPr>
          <w:p>
            <w:pPr>
              <w:spacing w:after="40"/>
            </w:pPr>
            <w:r>
              <w:t xml:space="preserve">[Cần điền: tên nhóm, lớp, danh sách thành viên — họ tên, MSSV, email, vai trò]</w:t>
            </w:r>
          </w:p>
        </w:tc>
      </w:tr>
      <w:tr>
        <w:tc>
          <w:tcPr>
            <w:tcW w:type="dxa" w:w="2500"/>
            <w:tcMar>
              <w:top w:type="dxa" w:w="60"/>
              <w:left w:type="dxa" w:w="100"/>
              <w:bottom w:type="dxa" w:w="60"/>
              <w:right w:type="dxa" w:w="100"/>
            </w:tcMar>
            <w:vAlign w:val="center"/>
          </w:tcPr>
          <w:p>
            <w:pPr>
              <w:spacing w:after="40"/>
            </w:pPr>
            <w:r>
              <w:t xml:space="preserve">Nhóm trưởng</w:t>
            </w:r>
          </w:p>
        </w:tc>
        <w:tc>
          <w:tcPr>
            <w:tcW w:type="dxa" w:w="6526"/>
            <w:tcMar>
              <w:top w:type="dxa" w:w="60"/>
              <w:left w:type="dxa" w:w="100"/>
              <w:bottom w:type="dxa" w:w="60"/>
              <w:right w:type="dxa" w:w="100"/>
            </w:tcMar>
            <w:vAlign w:val="center"/>
          </w:tcPr>
          <w:p>
            <w:pPr>
              <w:spacing w:after="40"/>
            </w:pPr>
            <w:r>
              <w:t xml:space="preserve">[Cần điền: họ tên, MSSV, email, số điện thoại]</w:t>
            </w:r>
          </w:p>
        </w:tc>
      </w:tr>
      <w:tr>
        <w:tc>
          <w:tcPr>
            <w:tcW w:type="dxa" w:w="2500"/>
            <w:tcMar>
              <w:top w:type="dxa" w:w="60"/>
              <w:left w:type="dxa" w:w="100"/>
              <w:bottom w:type="dxa" w:w="60"/>
              <w:right w:type="dxa" w:w="100"/>
            </w:tcMar>
            <w:vAlign w:val="center"/>
          </w:tcPr>
          <w:p>
            <w:pPr>
              <w:spacing w:after="40"/>
            </w:pPr>
            <w:r>
              <w:t xml:space="preserve">Giảng viên hướng dẫn</w:t>
            </w:r>
          </w:p>
        </w:tc>
        <w:tc>
          <w:tcPr>
            <w:tcW w:type="dxa" w:w="6526"/>
            <w:tcMar>
              <w:top w:type="dxa" w:w="60"/>
              <w:left w:type="dxa" w:w="100"/>
              <w:bottom w:type="dxa" w:w="60"/>
              <w:right w:type="dxa" w:w="100"/>
            </w:tcMar>
            <w:vAlign w:val="center"/>
          </w:tcPr>
          <w:p>
            <w:pPr>
              <w:spacing w:after="40"/>
            </w:pPr>
            <w:r>
              <w:t xml:space="preserve">ThS. Nguyễn Thị Anh Thư</w:t>
            </w:r>
          </w:p>
        </w:tc>
      </w:tr>
      <w:tr>
        <w:tc>
          <w:tcPr>
            <w:tcW w:type="dxa" w:w="2500"/>
            <w:tcMar>
              <w:top w:type="dxa" w:w="60"/>
              <w:left w:type="dxa" w:w="100"/>
              <w:bottom w:type="dxa" w:w="60"/>
              <w:right w:type="dxa" w:w="100"/>
            </w:tcMar>
            <w:vAlign w:val="center"/>
          </w:tcPr>
          <w:p>
            <w:pPr>
              <w:spacing w:after="40"/>
            </w:pPr>
            <w:r>
              <w:t xml:space="preserve">Thời gian thực hiện</w:t>
            </w:r>
          </w:p>
        </w:tc>
        <w:tc>
          <w:tcPr>
            <w:tcW w:type="dxa" w:w="6526"/>
            <w:tcMar>
              <w:top w:type="dxa" w:w="60"/>
              <w:left w:type="dxa" w:w="100"/>
              <w:bottom w:type="dxa" w:w="60"/>
              <w:right w:type="dxa" w:w="100"/>
            </w:tcMar>
            <w:vAlign w:val="center"/>
          </w:tcPr>
          <w:p>
            <w:pPr>
              <w:spacing w:after="40"/>
            </w:pPr>
            <w:r>
              <w:t xml:space="preserve">[Cần điền: theo lịch báo cáo của lớp]</w:t>
            </w:r>
          </w:p>
        </w:tc>
      </w:tr>
    </w:tbl>
    <w:p>
      <w:pPr>
        <w:pStyle w:val="Heading1"/>
        <w:spacing w:after="150" w:before="300"/>
      </w:pPr>
      <w:r>
        <w:t xml:space="preserve">PHẦN B. NỘI DUNG CHUYÊN MÔN</w:t>
      </w:r>
    </w:p>
    <w:p>
      <w:pPr>
        <w:pStyle w:val="Heading2"/>
        <w:spacing w:after="120" w:before="250"/>
      </w:pPr>
      <w:r>
        <w:t xml:space="preserve">Mục 1. Bối cảnh và lý do chọn đề tài</w:t>
      </w:r>
    </w:p>
    <w:p>
      <w:pPr>
        <w:spacing w:after="120"/>
        <w:jc w:val="both"/>
      </w:pPr>
      <w:r>
        <w:t xml:space="preserve">Đề tài lấy bối cảnh vận hành của một chuỗi bán lẻ quy mô lớn (Walmart), thông qua bộ dữ liệu công khai M5 Forecasting gồm 10 cửa hàng thuộc 3 bang (California, Texas, Wisconsin), 3 ngành hàng (FOODS, HOBBIES, HOUSEHOLD) và 7 dòng sản phẩm (department), theo dõi doanh số bán theo ngày trong khoảng 5 năm, kèm dữ liệu lịch (ngày lễ, sự kiện, chương trình SNAP – trợ cấp thực phẩm) và giá bán theo tuần.</w:t>
      </w:r>
    </w:p>
    <w:p>
      <w:pPr>
        <w:spacing w:after="120"/>
        <w:jc w:val="both"/>
      </w:pPr>
      <w:r>
        <w:t xml:space="preserve">Khảo sát sơ bộ (Lab 1, Lab 2) cho thấy vấn đề nghiệp vụ nổi bật nhất của dữ liệu là hiện tượng nhu cầu gián đoạn (intermittent demand): 68,2% số bản ghi có doanh số bằng 0, riêng ngành HOBBIES lên tới gần 80%. Đây là đặc điểm điển hình của bán lẻ đa kênh, đa cửa hàng mà các phương pháp dự báo chuỗi thời gian cổ điển (ARIMA, trung bình trượt) xử lý kém, trong khi bộ phận vận hành kho hiện vẫn chủ yếu dựa vào kinh nghiệm quản lý cửa hàng và quy tắc đặt hàng cố định.</w:t>
      </w:r>
    </w:p>
    <w:p>
      <w:pPr>
        <w:spacing w:after="120"/>
        <w:jc w:val="both"/>
      </w:pPr>
      <w:r>
        <w:t xml:space="preserve">Nếu dự báo sai lệch: dự báo thấp hơn thực tế dẫn đến hết hàng (stockout), mất doanh thu và trải nghiệm khách hàng; dự báo cao hơn thực tế dẫn đến tồn kho dư thừa, đặc biệt tốn kém với ngành FOODS (hàng dễ hỏng). Khai phá dữ liệu — cụ thể là các mô hình học máy dựa trên cây quyết định kết hợp đặc trưng lịch/sự kiện — là hướng tiếp cận phù hợp vì đã được chứng minh hiệu quả trên chính bộ dữ liệu này trong cuộc thi M5 Accuracy Competition (2020), nơi toàn bộ top 50 đội đều dùng giải pháp dựa trên LightGBM.</w:t>
      </w:r>
    </w:p>
    <w:p>
      <w:pPr>
        <w:pStyle w:val="Heading2"/>
        <w:spacing w:after="120" w:before="250"/>
      </w:pPr>
      <w:r>
        <w:t xml:space="preserve">Mục 2. Mục tiêu đề tài</w:t>
      </w:r>
    </w:p>
    <w:p>
      <w:pPr>
        <w:spacing w:after="120"/>
        <w:jc w:val="left"/>
      </w:pPr>
      <w:r>
        <w:t xml:space="preserve">Mục tiêu tổng quát: Xây dựng hệ thống dự báo doanh số bán 28 ngày tới cho từng cặp sản phẩm–cửa hàng trong bộ dữ liệu M5, làm cơ sở hỗ trợ ra quyết định tồn kho.</w:t>
      </w:r>
    </w:p>
    <w:p>
      <w:pPr>
        <w:spacing w:after="120"/>
        <w:jc w:val="left"/>
      </w:pPr>
      <w:r>
        <w:t xml:space="preserve">Mục tiêu cụ thể:</w:t>
      </w:r>
    </w:p>
    <w:p>
      <w:pPr>
        <w:pStyle w:val="ListParagraph"/>
        <w:numPr>
          <w:ilvl w:val="0"/>
          <w:numId w:val="2"/>
        </w:numPr>
        <w:spacing w:after="80"/>
        <w:jc w:val="both"/>
      </w:pPr>
      <w:r>
        <w:t xml:space="preserve">Thực hiện EDA toàn diện để xác định mẫu hình mùa vụ theo ngày/tháng, mức độ sparsity, tác động của sự kiện đặc biệt và chương trình SNAP (đã hoàn thành ở Lab 1–2, tổng hợp lại trong Mục 5).</w:t>
      </w:r>
    </w:p>
    <w:p>
      <w:pPr>
        <w:pStyle w:val="ListParagraph"/>
        <w:numPr>
          <w:ilvl w:val="0"/>
          <w:numId w:val="2"/>
        </w:numPr>
        <w:spacing w:after="80"/>
        <w:jc w:val="both"/>
      </w:pPr>
      <w:r>
        <w:t xml:space="preserve">Xây dựng pipeline tiền xử lý và feature engineering (lag/rolling, biến lịch, biến giá, mã hoá phân cấp store/dept/cat).</w:t>
      </w:r>
    </w:p>
    <w:p>
      <w:pPr>
        <w:pStyle w:val="ListParagraph"/>
        <w:numPr>
          <w:ilvl w:val="0"/>
          <w:numId w:val="2"/>
        </w:numPr>
        <w:spacing w:after="80"/>
        <w:jc w:val="both"/>
      </w:pPr>
      <w:r>
        <w:t xml:space="preserve">Huấn luyện và so sánh tối thiểu 3 phương pháp: baseline (seasonal-naive), XGBoost, LightGBM (hàm mục tiêu Tweedie/Poisson) theo chiến lược mô hình hoá cục bộ (localized modeling) theo nhóm sản phẩm.</w:t>
      </w:r>
    </w:p>
    <w:p>
      <w:pPr>
        <w:pStyle w:val="ListParagraph"/>
        <w:numPr>
          <w:ilvl w:val="0"/>
          <w:numId w:val="2"/>
        </w:numPr>
        <w:spacing w:after="80"/>
        <w:jc w:val="both"/>
      </w:pPr>
      <w:r>
        <w:t xml:space="preserve">Đánh giá bằng bộ chỉ số kỹ thuật (RMSSE/WRMSSE, MAE) kết hợp chỉ số nghiệp vụ (ước tính chi phí tồn kho/stockout).</w:t>
      </w:r>
    </w:p>
    <w:p>
      <w:pPr>
        <w:pStyle w:val="ListParagraph"/>
        <w:numPr>
          <w:ilvl w:val="0"/>
          <w:numId w:val="2"/>
        </w:numPr>
        <w:spacing w:after="80"/>
        <w:jc w:val="both"/>
      </w:pPr>
      <w:r>
        <w:t xml:space="preserve">Xây dựng bảng điều khiển (dashboard) demo trực quan hoá kết quả dự báo và các phát hiện EDA chính.</w:t>
      </w:r>
    </w:p>
    <w:p>
      <w:pPr>
        <w:pStyle w:val="Heading2"/>
        <w:spacing w:after="120" w:before="250"/>
      </w:pPr>
      <w:r>
        <w:t xml:space="preserve">Mục 3. Phát biểu bài toán khai phá dữ liệu</w:t>
      </w:r>
    </w:p>
    <w:p>
      <w:pPr>
        <w:spacing w:after="120"/>
        <w:jc w:val="both"/>
      </w:pPr>
      <w:r>
        <w:t xml:space="preserve">Nhóm bài toán: Chuỗi thời gian (Time Series Forecasting), có thể kết hợp thêm Hồi quy khi gộp dữ liệu theo tuần.</w:t>
      </w:r>
    </w:p>
    <w:p>
      <w:pPr>
        <w:spacing w:after="120"/>
        <w:jc w:val="both"/>
      </w:pPr>
      <w:r>
        <w:rPr>
          <w:b/>
          <w:bCs/>
        </w:rPr>
        <w:t xml:space="preserve">Cho trước: </w:t>
      </w:r>
      <w:r>
        <w:t xml:space="preserve">lịch sử doanh số bán theo ngày của từng cặp (item_id, store_id) trong khoảng 5 năm, kèm dữ liệu lịch (event, SNAP theo bang) và giá bán theo tuần.</w:t>
      </w:r>
    </w:p>
    <w:p>
      <w:pPr>
        <w:spacing w:after="120"/>
        <w:jc w:val="both"/>
      </w:pPr>
      <w:r>
        <w:rPr>
          <w:b/>
          <w:bCs/>
        </w:rPr>
        <w:t xml:space="preserve">Cần tìm: </w:t>
      </w:r>
      <w:r>
        <w:t xml:space="preserve">doanh số bán dự kiến của từng cặp (item_id, store_id) cho 28 ngày kế tiếp.</w:t>
      </w:r>
    </w:p>
    <w:p>
      <w:pPr>
        <w:spacing w:after="120"/>
        <w:jc w:val="both"/>
      </w:pPr>
      <w:r>
        <w:rPr>
          <w:b/>
          <w:bCs/>
        </w:rPr>
        <w:t xml:space="preserve">Đầu vào của mô hình: </w:t>
      </w:r>
      <w:r>
        <w:t xml:space="preserve">đặc trưng lag/rolling doanh số, ngày trong tuần, tháng, cờ sự kiện, cờ SNAP theo bang, giá bán và độ biến động giá, mã phân cấp store/department/category.</w:t>
      </w:r>
    </w:p>
    <w:p>
      <w:pPr>
        <w:spacing w:after="120"/>
        <w:jc w:val="both"/>
      </w:pPr>
      <w:r>
        <w:rPr>
          <w:b/>
          <w:bCs/>
        </w:rPr>
        <w:t xml:space="preserve">Đầu ra của mô hình: </w:t>
      </w:r>
      <w:r>
        <w:t xml:space="preserve">số lượng sản phẩm bán dự kiến mỗi ngày (số nguyên không âm).</w:t>
      </w:r>
    </w:p>
    <w:p>
      <w:pPr>
        <w:spacing w:after="120"/>
        <w:jc w:val="both"/>
      </w:pPr>
      <w:r>
        <w:rPr>
          <w:b/>
          <w:bCs/>
        </w:rPr>
        <w:t xml:space="preserve">Ràng buộc: </w:t>
      </w:r>
      <w:r>
        <w:t xml:space="preserve">mô hình phải xử lý tốt sparsity cao (~68% giá trị 0) mà không cần kiến trúc quá phức tạp; thời gian huấn luyện và tài nguyên phù hợp với deadline môn học; kết quả cần diễn giải được ở mức đủ để bộ phận vận hành kho tin dùng.</w:t>
      </w:r>
    </w:p>
    <w:p>
      <w:pPr>
        <w:spacing w:after="120"/>
        <w:jc w:val="both"/>
      </w:pPr>
      <w:r>
        <w:t xml:space="preserve">Phạm vi ngoài đề tài: đề tài không thực hiện tối ưu hoá giá bán (pricing optimization), không dự báo demand thật tách khỏi sales bị censored do hết hàng, và không xử lý bài toán cold-start cho sản phẩm hoàn toàn mới chưa có lịch sử bán.</w:t>
      </w:r>
    </w:p>
    <w:p>
      <w:pPr>
        <w:pStyle w:val="Heading2"/>
        <w:spacing w:after="120" w:before="250"/>
      </w:pPr>
      <w:r>
        <w:t xml:space="preserve">Mục 4. Tổng quan các công trình liên quan</w:t>
      </w:r>
    </w:p>
    <w:p>
      <w:pPr>
        <w:spacing w:after="120"/>
        <w:jc w:val="both"/>
      </w:pPr>
      <w:r>
        <w:t xml:space="preserve">Năm tài liệu được chọn vì bám sát trực tiếp đặc thù dữ liệu M5 (sparsity, quy mô lớn, phân cấp store–category) hơn là các bài về thời trang/cold-start đã khảo sát trước đó.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1550"/>
        <w:gridCol w:w="2350"/>
        <w:gridCol w:w="2726"/>
        <w:gridCol w:w="2050"/>
      </w:tblGrid>
      <w:tr>
        <w:tc>
          <w:tcPr>
            <w:tcW w:type="dxa" w:w="350"/>
            <w:shd w:fill="D9D9D9" w:val="clear"/>
            <w:tcMar>
              <w:top w:type="dxa" w:w="60"/>
              <w:left w:type="dxa" w:w="100"/>
              <w:bottom w:type="dxa" w:w="60"/>
              <w:right w:type="dxa" w:w="100"/>
            </w:tcMar>
            <w:vAlign w:val="center"/>
          </w:tcPr>
          <w:p>
            <w:pPr>
              <w:spacing w:after="40"/>
            </w:pPr>
            <w:r>
              <w:rPr>
                <w:b/>
                <w:bCs/>
              </w:rPr>
              <w:t xml:space="preserve">#</w:t>
            </w:r>
          </w:p>
        </w:tc>
        <w:tc>
          <w:tcPr>
            <w:tcW w:type="dxa" w:w="1550"/>
            <w:shd w:fill="D9D9D9" w:val="clear"/>
            <w:tcMar>
              <w:top w:type="dxa" w:w="60"/>
              <w:left w:type="dxa" w:w="100"/>
              <w:bottom w:type="dxa" w:w="60"/>
              <w:right w:type="dxa" w:w="100"/>
            </w:tcMar>
            <w:vAlign w:val="center"/>
          </w:tcPr>
          <w:p>
            <w:pPr>
              <w:spacing w:after="40"/>
            </w:pPr>
            <w:r>
              <w:rPr>
                <w:b/>
                <w:bCs/>
              </w:rPr>
              <w:t xml:space="preserve">Tài liệu</w:t>
            </w:r>
          </w:p>
        </w:tc>
        <w:tc>
          <w:tcPr>
            <w:tcW w:type="dxa" w:w="2350"/>
            <w:shd w:fill="D9D9D9" w:val="clear"/>
            <w:tcMar>
              <w:top w:type="dxa" w:w="60"/>
              <w:left w:type="dxa" w:w="100"/>
              <w:bottom w:type="dxa" w:w="60"/>
              <w:right w:type="dxa" w:w="100"/>
            </w:tcMar>
            <w:vAlign w:val="center"/>
          </w:tcPr>
          <w:p>
            <w:pPr>
              <w:spacing w:after="40"/>
            </w:pPr>
            <w:r>
              <w:rPr>
                <w:b/>
                <w:bCs/>
              </w:rPr>
              <w:t xml:space="preserve">Phương pháp &amp; Dữ liệu</w:t>
            </w:r>
          </w:p>
        </w:tc>
        <w:tc>
          <w:tcPr>
            <w:tcW w:type="dxa" w:w="2726"/>
            <w:shd w:fill="D9D9D9" w:val="clear"/>
            <w:tcMar>
              <w:top w:type="dxa" w:w="60"/>
              <w:left w:type="dxa" w:w="100"/>
              <w:bottom w:type="dxa" w:w="60"/>
              <w:right w:type="dxa" w:w="100"/>
            </w:tcMar>
            <w:vAlign w:val="center"/>
          </w:tcPr>
          <w:p>
            <w:pPr>
              <w:spacing w:after="40"/>
            </w:pPr>
            <w:r>
              <w:rPr>
                <w:b/>
                <w:bCs/>
              </w:rPr>
              <w:t xml:space="preserve">Kết quả chính</w:t>
            </w:r>
          </w:p>
        </w:tc>
        <w:tc>
          <w:tcPr>
            <w:tcW w:type="dxa" w:w="2050"/>
            <w:shd w:fill="D9D9D9" w:val="clear"/>
            <w:tcMar>
              <w:top w:type="dxa" w:w="60"/>
              <w:left w:type="dxa" w:w="100"/>
              <w:bottom w:type="dxa" w:w="60"/>
              <w:right w:type="dxa" w:w="100"/>
            </w:tcMar>
            <w:vAlign w:val="center"/>
          </w:tcPr>
          <w:p>
            <w:pPr>
              <w:spacing w:after="40"/>
            </w:pPr>
            <w:r>
              <w:rPr>
                <w:b/>
                <w:bCs/>
              </w:rPr>
              <w:t xml:space="preserve">Hạn chế</w:t>
            </w:r>
          </w:p>
        </w:tc>
      </w:tr>
      <w:tr>
        <w:tc>
          <w:tcPr>
            <w:tcW w:type="dxa" w:w="350"/>
            <w:tcMar>
              <w:top w:type="dxa" w:w="60"/>
              <w:left w:type="dxa" w:w="100"/>
              <w:bottom w:type="dxa" w:w="60"/>
              <w:right w:type="dxa" w:w="100"/>
            </w:tcMar>
            <w:vAlign w:val="center"/>
          </w:tcPr>
          <w:p>
            <w:pPr>
              <w:spacing w:after="40"/>
            </w:pPr>
            <w:r>
              <w:t xml:space="preserve">1</w:t>
            </w:r>
          </w:p>
        </w:tc>
        <w:tc>
          <w:tcPr>
            <w:tcW w:type="dxa" w:w="1550"/>
            <w:tcMar>
              <w:top w:type="dxa" w:w="60"/>
              <w:left w:type="dxa" w:w="100"/>
              <w:bottom w:type="dxa" w:w="60"/>
              <w:right w:type="dxa" w:w="100"/>
            </w:tcMar>
            <w:vAlign w:val="center"/>
          </w:tcPr>
          <w:p>
            <w:pPr>
              <w:spacing w:after="40"/>
            </w:pPr>
            <w:r>
              <w:t xml:space="preserve">Makridakis, Spiliotis, Assimakopoulos (2022) – M5 Accuracy Competition</w:t>
            </w:r>
          </w:p>
        </w:tc>
        <w:tc>
          <w:tcPr>
            <w:tcW w:type="dxa" w:w="2350"/>
            <w:tcMar>
              <w:top w:type="dxa" w:w="60"/>
              <w:left w:type="dxa" w:w="100"/>
              <w:bottom w:type="dxa" w:w="60"/>
              <w:right w:type="dxa" w:w="100"/>
            </w:tcMar>
            <w:vAlign w:val="center"/>
          </w:tcPr>
          <w:p>
            <w:pPr>
              <w:spacing w:after="40"/>
            </w:pPr>
            <w:r>
              <w:t xml:space="preserve">So sánh quy mô lớn trên 42.840 chuỗi bán lẻ Walmart (chính bộ M5); top 50 đội đều dùng LightGBM kết hợp theo store/category.</w:t>
            </w:r>
          </w:p>
        </w:tc>
        <w:tc>
          <w:tcPr>
            <w:tcW w:type="dxa" w:w="2726"/>
            <w:tcMar>
              <w:top w:type="dxa" w:w="60"/>
              <w:left w:type="dxa" w:w="100"/>
              <w:bottom w:type="dxa" w:w="60"/>
              <w:right w:type="dxa" w:w="100"/>
            </w:tcMar>
            <w:vAlign w:val="center"/>
          </w:tcPr>
          <w:p>
            <w:pPr>
              <w:spacing w:after="40"/>
            </w:pPr>
            <w:r>
              <w:t xml:space="preserve">ML thuần vượt mọi benchmark thống kê 14–22%; combining nhiều LightGBM theo cấu hình khác nhau luôn thắng một mô hình đơn.</w:t>
            </w:r>
          </w:p>
        </w:tc>
        <w:tc>
          <w:tcPr>
            <w:tcW w:type="dxa" w:w="2050"/>
            <w:tcMar>
              <w:top w:type="dxa" w:w="60"/>
              <w:left w:type="dxa" w:w="100"/>
              <w:bottom w:type="dxa" w:w="60"/>
              <w:right w:type="dxa" w:w="100"/>
            </w:tcMar>
            <w:vAlign w:val="center"/>
          </w:tcPr>
          <w:p>
            <w:pPr>
              <w:spacing w:after="40"/>
            </w:pPr>
            <w:r>
              <w:t xml:space="preserve">Độ chính xác giảm mạnh ở mức chi tiết product-store; metric WRMSSE thiên về sản phẩm giá trị cao.</w:t>
            </w:r>
          </w:p>
        </w:tc>
      </w:tr>
      <w:tr>
        <w:tc>
          <w:tcPr>
            <w:tcW w:type="dxa" w:w="350"/>
            <w:tcMar>
              <w:top w:type="dxa" w:w="60"/>
              <w:left w:type="dxa" w:w="100"/>
              <w:bottom w:type="dxa" w:w="60"/>
              <w:right w:type="dxa" w:w="100"/>
            </w:tcMar>
            <w:vAlign w:val="center"/>
          </w:tcPr>
          <w:p>
            <w:pPr>
              <w:spacing w:after="40"/>
            </w:pPr>
            <w:r>
              <w:t xml:space="preserve">2</w:t>
            </w:r>
          </w:p>
        </w:tc>
        <w:tc>
          <w:tcPr>
            <w:tcW w:type="dxa" w:w="1550"/>
            <w:tcMar>
              <w:top w:type="dxa" w:w="60"/>
              <w:left w:type="dxa" w:w="100"/>
              <w:bottom w:type="dxa" w:w="60"/>
              <w:right w:type="dxa" w:w="100"/>
            </w:tcMar>
            <w:vAlign w:val="center"/>
          </w:tcPr>
          <w:p>
            <w:pPr>
              <w:spacing w:after="40"/>
            </w:pPr>
            <w:r>
              <w:t xml:space="preserve">Hobor et al. (2025) – Comparative Analysis for Retail Sales Forecasting (B&amp;M)</w:t>
            </w:r>
          </w:p>
        </w:tc>
        <w:tc>
          <w:tcPr>
            <w:tcW w:type="dxa" w:w="2350"/>
            <w:tcMar>
              <w:top w:type="dxa" w:w="60"/>
              <w:left w:type="dxa" w:w="100"/>
              <w:bottom w:type="dxa" w:w="60"/>
              <w:right w:type="dxa" w:w="100"/>
            </w:tcMar>
            <w:vAlign w:val="center"/>
          </w:tcPr>
          <w:p>
            <w:pPr>
              <w:spacing w:after="40"/>
            </w:pPr>
            <w:r>
              <w:t xml:space="preserve">So sánh cây (XGBoost, LightGBM) và neural (N-BEATS, NHiTS, TFT) trên ~70.000 chuỗi bán lẻ thực tế, nhu cầu gián đoạn &gt;70%, thiếu dữ liệu ~50%.</w:t>
            </w:r>
          </w:p>
        </w:tc>
        <w:tc>
          <w:tcPr>
            <w:tcW w:type="dxa" w:w="2726"/>
            <w:tcMar>
              <w:top w:type="dxa" w:w="60"/>
              <w:left w:type="dxa" w:w="100"/>
              <w:bottom w:type="dxa" w:w="60"/>
              <w:right w:type="dxa" w:w="100"/>
            </w:tcMar>
            <w:vAlign w:val="center"/>
          </w:tcPr>
          <w:p>
            <w:pPr>
              <w:spacing w:after="40"/>
            </w:pPr>
            <w:r>
              <w:t xml:space="preserve">LightGBM/XGBoost huấn luyện theo nhóm sản phẩm, trên dữ liệu không impute, tốt nhất và hiệu quả tính toán vượt trội.</w:t>
            </w:r>
          </w:p>
        </w:tc>
        <w:tc>
          <w:tcPr>
            <w:tcW w:type="dxa" w:w="2050"/>
            <w:tcMar>
              <w:top w:type="dxa" w:w="60"/>
              <w:left w:type="dxa" w:w="100"/>
              <w:bottom w:type="dxa" w:w="60"/>
              <w:right w:type="dxa" w:w="100"/>
            </w:tcMar>
            <w:vAlign w:val="center"/>
          </w:tcPr>
          <w:p>
            <w:pPr>
              <w:spacing w:after="40"/>
            </w:pPr>
            <w:r>
              <w:t xml:space="preserve">Metric tổng hợp có thể che khuất biến động theo phân khúc/thời gian; kết quả gắn với một ngành hàng cụ thể.</w:t>
            </w:r>
          </w:p>
        </w:tc>
      </w:tr>
      <w:tr>
        <w:tc>
          <w:tcPr>
            <w:tcW w:type="dxa" w:w="350"/>
            <w:tcMar>
              <w:top w:type="dxa" w:w="60"/>
              <w:left w:type="dxa" w:w="100"/>
              <w:bottom w:type="dxa" w:w="60"/>
              <w:right w:type="dxa" w:w="100"/>
            </w:tcMar>
            <w:vAlign w:val="center"/>
          </w:tcPr>
          <w:p>
            <w:pPr>
              <w:spacing w:after="40"/>
            </w:pPr>
            <w:r>
              <w:t xml:space="preserve">3</w:t>
            </w:r>
          </w:p>
        </w:tc>
        <w:tc>
          <w:tcPr>
            <w:tcW w:type="dxa" w:w="1550"/>
            <w:tcMar>
              <w:top w:type="dxa" w:w="60"/>
              <w:left w:type="dxa" w:w="100"/>
              <w:bottom w:type="dxa" w:w="60"/>
              <w:right w:type="dxa" w:w="100"/>
            </w:tcMar>
            <w:vAlign w:val="center"/>
          </w:tcPr>
          <w:p>
            <w:pPr>
              <w:spacing w:after="40"/>
            </w:pPr>
            <w:r>
              <w:t xml:space="preserve">Ke et al. (2017) – LightGBM</w:t>
            </w:r>
          </w:p>
        </w:tc>
        <w:tc>
          <w:tcPr>
            <w:tcW w:type="dxa" w:w="2350"/>
            <w:tcMar>
              <w:top w:type="dxa" w:w="60"/>
              <w:left w:type="dxa" w:w="100"/>
              <w:bottom w:type="dxa" w:w="60"/>
              <w:right w:type="dxa" w:w="100"/>
            </w:tcMar>
            <w:vAlign w:val="center"/>
          </w:tcPr>
          <w:p>
            <w:pPr>
              <w:spacing w:after="40"/>
            </w:pPr>
            <w:r>
              <w:t xml:space="preserve">Đề xuất GOSS (lấy mẫu theo gradient) và EFB (gộp đặc trưng thưa) trên các benchmark công nghiệp lớn (Allstate, KDD10, KDD12).</w:t>
            </w:r>
          </w:p>
        </w:tc>
        <w:tc>
          <w:tcPr>
            <w:tcW w:type="dxa" w:w="2726"/>
            <w:tcMar>
              <w:top w:type="dxa" w:w="60"/>
              <w:left w:type="dxa" w:w="100"/>
              <w:bottom w:type="dxa" w:w="60"/>
              <w:right w:type="dxa" w:w="100"/>
            </w:tcMar>
            <w:vAlign w:val="center"/>
          </w:tcPr>
          <w:p>
            <w:pPr>
              <w:spacing w:after="40"/>
            </w:pPr>
            <w:r>
              <w:t xml:space="preserve">Nhanh hơn ~20 lần XGBoost với độ chính xác gần như không đổi; là công cụ nền cho toàn bộ top đội thi M5.</w:t>
            </w:r>
          </w:p>
        </w:tc>
        <w:tc>
          <w:tcPr>
            <w:tcW w:type="dxa" w:w="2050"/>
            <w:tcMar>
              <w:top w:type="dxa" w:w="60"/>
              <w:left w:type="dxa" w:w="100"/>
              <w:bottom w:type="dxa" w:w="60"/>
              <w:right w:type="dxa" w:w="100"/>
            </w:tcMar>
            <w:vAlign w:val="center"/>
          </w:tcPr>
          <w:p>
            <w:pPr>
              <w:spacing w:after="40"/>
            </w:pPr>
            <w:r>
              <w:t xml:space="preserve">Không phải lúc nào cũng thắng tuyệt đối XGBoost về độ chính xác — điểm mạnh chính là tốc độ/bộ nhớ.</w:t>
            </w:r>
          </w:p>
        </w:tc>
      </w:tr>
      <w:tr>
        <w:tc>
          <w:tcPr>
            <w:tcW w:type="dxa" w:w="350"/>
            <w:tcMar>
              <w:top w:type="dxa" w:w="60"/>
              <w:left w:type="dxa" w:w="100"/>
              <w:bottom w:type="dxa" w:w="60"/>
              <w:right w:type="dxa" w:w="100"/>
            </w:tcMar>
            <w:vAlign w:val="center"/>
          </w:tcPr>
          <w:p>
            <w:pPr>
              <w:spacing w:after="40"/>
            </w:pPr>
            <w:r>
              <w:t xml:space="preserve">4</w:t>
            </w:r>
          </w:p>
        </w:tc>
        <w:tc>
          <w:tcPr>
            <w:tcW w:type="dxa" w:w="1550"/>
            <w:tcMar>
              <w:top w:type="dxa" w:w="60"/>
              <w:left w:type="dxa" w:w="100"/>
              <w:bottom w:type="dxa" w:w="60"/>
              <w:right w:type="dxa" w:w="100"/>
            </w:tcMar>
            <w:vAlign w:val="center"/>
          </w:tcPr>
          <w:p>
            <w:pPr>
              <w:spacing w:after="40"/>
            </w:pPr>
            <w:r>
              <w:t xml:space="preserve">Chen &amp; Guestrin (2016) – XGBoost</w:t>
            </w:r>
          </w:p>
        </w:tc>
        <w:tc>
          <w:tcPr>
            <w:tcW w:type="dxa" w:w="2350"/>
            <w:tcMar>
              <w:top w:type="dxa" w:w="60"/>
              <w:left w:type="dxa" w:w="100"/>
              <w:bottom w:type="dxa" w:w="60"/>
              <w:right w:type="dxa" w:w="100"/>
            </w:tcMar>
            <w:vAlign w:val="center"/>
          </w:tcPr>
          <w:p>
            <w:pPr>
              <w:spacing w:after="40"/>
            </w:pPr>
            <w:r>
              <w:t xml:space="preserve">Hệ thống gradient boosting có khả năng mở rộng, xử lý dữ liệu thưa (sparse) bằng sparsity-aware split finding.</w:t>
            </w:r>
          </w:p>
        </w:tc>
        <w:tc>
          <w:tcPr>
            <w:tcW w:type="dxa" w:w="2726"/>
            <w:tcMar>
              <w:top w:type="dxa" w:w="60"/>
              <w:left w:type="dxa" w:w="100"/>
              <w:bottom w:type="dxa" w:w="60"/>
              <w:right w:type="dxa" w:w="100"/>
            </w:tcMar>
            <w:vAlign w:val="center"/>
          </w:tcPr>
          <w:p>
            <w:pPr>
              <w:spacing w:after="40"/>
            </w:pPr>
            <w:r>
              <w:t xml:space="preserve">Nhanh hơn scikit-learn &gt;10 lần; xử lý missing value tự động qua cơ chế 'default direction'.</w:t>
            </w:r>
          </w:p>
        </w:tc>
        <w:tc>
          <w:tcPr>
            <w:tcW w:type="dxa" w:w="2050"/>
            <w:tcMar>
              <w:top w:type="dxa" w:w="60"/>
              <w:left w:type="dxa" w:w="100"/>
              <w:bottom w:type="dxa" w:w="60"/>
              <w:right w:type="dxa" w:w="100"/>
            </w:tcMar>
            <w:vAlign w:val="center"/>
          </w:tcPr>
          <w:p>
            <w:pPr>
              <w:spacing w:after="40"/>
            </w:pPr>
            <w:r>
              <w:t xml:space="preserve">Tập trung kỹ thuật hệ thống, không bàn đặc thù chuỗi thời gian.</w:t>
            </w:r>
          </w:p>
        </w:tc>
      </w:tr>
      <w:tr>
        <w:tc>
          <w:tcPr>
            <w:tcW w:type="dxa" w:w="350"/>
            <w:tcMar>
              <w:top w:type="dxa" w:w="60"/>
              <w:left w:type="dxa" w:w="100"/>
              <w:bottom w:type="dxa" w:w="60"/>
              <w:right w:type="dxa" w:w="100"/>
            </w:tcMar>
            <w:vAlign w:val="center"/>
          </w:tcPr>
          <w:p>
            <w:pPr>
              <w:spacing w:after="40"/>
            </w:pPr>
            <w:r>
              <w:t xml:space="preserve">5</w:t>
            </w:r>
          </w:p>
        </w:tc>
        <w:tc>
          <w:tcPr>
            <w:tcW w:type="dxa" w:w="1550"/>
            <w:tcMar>
              <w:top w:type="dxa" w:w="60"/>
              <w:left w:type="dxa" w:w="100"/>
              <w:bottom w:type="dxa" w:w="60"/>
              <w:right w:type="dxa" w:w="100"/>
            </w:tcMar>
            <w:vAlign w:val="center"/>
          </w:tcPr>
          <w:p>
            <w:pPr>
              <w:spacing w:after="40"/>
            </w:pPr>
            <w:r>
              <w:t xml:space="preserve">Lv, Han, Hu (2023) – Clothing Sales Forecast Considering Weather Information</w:t>
            </w:r>
          </w:p>
        </w:tc>
        <w:tc>
          <w:tcPr>
            <w:tcW w:type="dxa" w:w="2350"/>
            <w:tcMar>
              <w:top w:type="dxa" w:w="60"/>
              <w:left w:type="dxa" w:w="100"/>
              <w:bottom w:type="dxa" w:w="60"/>
              <w:right w:type="dxa" w:w="100"/>
            </w:tcMar>
            <w:vAlign w:val="center"/>
          </w:tcPr>
          <w:p>
            <w:pPr>
              <w:spacing w:after="40"/>
            </w:pPr>
            <w:r>
              <w:t xml:space="preserve">Stacking 2 tầng (RF+XGB+GBDT) trên dữ liệu POS thực tế, có feature engineering ngày lễ/cuối tuần.</w:t>
            </w:r>
          </w:p>
        </w:tc>
        <w:tc>
          <w:tcPr>
            <w:tcW w:type="dxa" w:w="2726"/>
            <w:tcMar>
              <w:top w:type="dxa" w:w="60"/>
              <w:left w:type="dxa" w:w="100"/>
              <w:bottom w:type="dxa" w:w="60"/>
              <w:right w:type="dxa" w:w="100"/>
            </w:tcMar>
            <w:vAlign w:val="center"/>
          </w:tcPr>
          <w:p>
            <w:pPr>
              <w:spacing w:after="40"/>
            </w:pPr>
            <w:r>
              <w:t xml:space="preserve">Stacking vượt Voting (giảm MSE trung bình ~49%); tách sản phẩm theo mùa/cơ bản trước khi thêm biến ngoại sinh giúp cải thiện đáng kể.</w:t>
            </w:r>
          </w:p>
        </w:tc>
        <w:tc>
          <w:tcPr>
            <w:tcW w:type="dxa" w:w="2050"/>
            <w:tcMar>
              <w:top w:type="dxa" w:w="60"/>
              <w:left w:type="dxa" w:w="100"/>
              <w:bottom w:type="dxa" w:w="60"/>
              <w:right w:type="dxa" w:w="100"/>
            </w:tcMar>
            <w:vAlign w:val="center"/>
          </w:tcPr>
          <w:p>
            <w:pPr>
              <w:spacing w:after="40"/>
            </w:pPr>
            <w:r>
              <w:t xml:space="preserve">Chỉ 1 thành phố; là phân tích hậu nghiệm với thời tiết đã biết thực tế, không dùng thời tiết dự báo.</w:t>
            </w:r>
          </w:p>
        </w:tc>
      </w:tr>
    </w:tbl>
    <w:p>
      <w:pPr>
        <w:spacing w:after="120"/>
        <w:jc w:val="both"/>
      </w:pPr>
      <w:r>
        <w:t xml:space="preserve">Khoảng trống mà đề tài hướng tới: các bài A/A* nêu trên chủ yếu benchmark trên toàn bộ M5 (quy mô rất lớn, cần nhiều tài nguyên) hoặc trên bộ dữ liệu bán lẻ khác. Đề tài của nhóm áp dụng lại đúng kết luận về LightGBM/XGBoost + local modeling nhưng trên một tập con thực thi được trong deadline môn học, đồng thời bổ sung phân tích nghiệp vụ cụ thể (SNAP, event) đặc thù của M5 mà các bài benchmark tổng quát không đi sâu.</w:t>
      </w:r>
    </w:p>
    <w:p>
      <w:pPr>
        <w:pStyle w:val="Heading2"/>
        <w:spacing w:after="120" w:before="250"/>
      </w:pPr>
      <w:r>
        <w:t xml:space="preserve">Mục 5. Mô tả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D9D9D9" w:val="clear"/>
            <w:tcMar>
              <w:top w:type="dxa" w:w="60"/>
              <w:left w:type="dxa" w:w="100"/>
              <w:bottom w:type="dxa" w:w="60"/>
              <w:right w:type="dxa" w:w="100"/>
            </w:tcMar>
            <w:vAlign w:val="center"/>
          </w:tcPr>
          <w:p>
            <w:pPr>
              <w:spacing w:after="40"/>
            </w:pPr>
            <w:r>
              <w:rPr>
                <w:b/>
                <w:bCs/>
              </w:rPr>
              <w:t xml:space="preserve">Thành phần</w:t>
            </w:r>
          </w:p>
        </w:tc>
        <w:tc>
          <w:tcPr>
            <w:tcW w:type="dxa" w:w="6826"/>
            <w:shd w:fill="D9D9D9" w:val="clear"/>
            <w:tcMar>
              <w:top w:type="dxa" w:w="60"/>
              <w:left w:type="dxa" w:w="100"/>
              <w:bottom w:type="dxa" w:w="60"/>
              <w:right w:type="dxa" w:w="100"/>
            </w:tcMar>
            <w:vAlign w:val="center"/>
          </w:tcPr>
          <w:p>
            <w:pPr>
              <w:spacing w:after="40"/>
            </w:pPr>
            <w:r>
              <w:rPr>
                <w:b/>
                <w:bCs/>
              </w:rPr>
              <w:t xml:space="preserve">Nội dung</w:t>
            </w:r>
          </w:p>
        </w:tc>
      </w:tr>
      <w:tr>
        <w:tc>
          <w:tcPr>
            <w:tcW w:type="dxa" w:w="2200"/>
            <w:tcMar>
              <w:top w:type="dxa" w:w="60"/>
              <w:left w:type="dxa" w:w="100"/>
              <w:bottom w:type="dxa" w:w="60"/>
              <w:right w:type="dxa" w:w="100"/>
            </w:tcMar>
            <w:vAlign w:val="center"/>
          </w:tcPr>
          <w:p>
            <w:pPr>
              <w:spacing w:after="40"/>
            </w:pPr>
            <w:r>
              <w:t xml:space="preserve">Nguồn dữ liệu</w:t>
            </w:r>
          </w:p>
        </w:tc>
        <w:tc>
          <w:tcPr>
            <w:tcW w:type="dxa" w:w="6826"/>
            <w:tcMar>
              <w:top w:type="dxa" w:w="60"/>
              <w:left w:type="dxa" w:w="100"/>
              <w:bottom w:type="dxa" w:w="60"/>
              <w:right w:type="dxa" w:w="100"/>
            </w:tcMar>
            <w:vAlign w:val="center"/>
          </w:tcPr>
          <w:p>
            <w:pPr>
              <w:spacing w:after="40"/>
            </w:pPr>
            <w:r>
              <w:t xml:space="preserve">M5 Forecasting Dataset (Walmart, công bố qua cuộc thi Kaggle M5 Accuracy Competition), dữ liệu công khai cho mục đích học thuật.</w:t>
            </w:r>
          </w:p>
        </w:tc>
      </w:tr>
      <w:tr>
        <w:tc>
          <w:tcPr>
            <w:tcW w:type="dxa" w:w="2200"/>
            <w:tcMar>
              <w:top w:type="dxa" w:w="60"/>
              <w:left w:type="dxa" w:w="100"/>
              <w:bottom w:type="dxa" w:w="60"/>
              <w:right w:type="dxa" w:w="100"/>
            </w:tcMar>
            <w:vAlign w:val="center"/>
          </w:tcPr>
          <w:p>
            <w:pPr>
              <w:spacing w:after="40"/>
            </w:pPr>
            <w:r>
              <w:t xml:space="preserve">Quy mô</w:t>
            </w:r>
          </w:p>
        </w:tc>
        <w:tc>
          <w:tcPr>
            <w:tcW w:type="dxa" w:w="6826"/>
            <w:tcMar>
              <w:top w:type="dxa" w:w="60"/>
              <w:left w:type="dxa" w:w="100"/>
              <w:bottom w:type="dxa" w:w="60"/>
              <w:right w:type="dxa" w:w="100"/>
            </w:tcMar>
            <w:vAlign w:val="center"/>
          </w:tcPr>
          <w:p>
            <w:pPr>
              <w:spacing w:after="40"/>
            </w:pPr>
            <w:r>
              <w:t xml:space="preserve">10 cửa hàng (CA_1–4, TX_1–3, WI_1–3); 3 category (FOODS, HOBBIES, HOUSEHOLD); 7 department; khoảng 1.913 ngày liên tục (~5,2 năm).</w:t>
            </w:r>
          </w:p>
        </w:tc>
      </w:tr>
      <w:tr>
        <w:tc>
          <w:tcPr>
            <w:tcW w:type="dxa" w:w="2200"/>
            <w:tcMar>
              <w:top w:type="dxa" w:w="60"/>
              <w:left w:type="dxa" w:w="100"/>
              <w:bottom w:type="dxa" w:w="60"/>
              <w:right w:type="dxa" w:w="100"/>
            </w:tcMar>
            <w:vAlign w:val="center"/>
          </w:tcPr>
          <w:p>
            <w:pPr>
              <w:spacing w:after="40"/>
            </w:pPr>
            <w:r>
              <w:t xml:space="preserve">Từ điển dữ liệu (tóm tắt)</w:t>
            </w:r>
          </w:p>
        </w:tc>
        <w:tc>
          <w:tcPr>
            <w:tcW w:type="dxa" w:w="6826"/>
            <w:tcMar>
              <w:top w:type="dxa" w:w="60"/>
              <w:left w:type="dxa" w:w="100"/>
              <w:bottom w:type="dxa" w:w="60"/>
              <w:right w:type="dxa" w:w="100"/>
            </w:tcMar>
            <w:vAlign w:val="center"/>
          </w:tcPr>
          <w:p>
            <w:pPr>
              <w:spacing w:after="40"/>
            </w:pPr>
            <w:r>
              <w:t xml:space="preserve">sales (doanh số theo ngày, số nguyên không âm); item_id/store_id/dept_id/cat_id/state_id (định danh phân cấp); date, wday, month, year (thời gian); event_name/event_type (sự kiện đặc biệt); snap_CA/snap_TX/snap_WI (cờ ngày SNAP theo bang); sell_price (giá bán theo tuần).</w:t>
            </w:r>
          </w:p>
        </w:tc>
      </w:tr>
      <w:tr>
        <w:tc>
          <w:tcPr>
            <w:tcW w:type="dxa" w:w="2200"/>
            <w:tcMar>
              <w:top w:type="dxa" w:w="60"/>
              <w:left w:type="dxa" w:w="100"/>
              <w:bottom w:type="dxa" w:w="60"/>
              <w:right w:type="dxa" w:w="100"/>
            </w:tcMar>
            <w:vAlign w:val="center"/>
          </w:tcPr>
          <w:p>
            <w:pPr>
              <w:spacing w:after="40"/>
            </w:pPr>
            <w:r>
              <w:t xml:space="preserve">Biến mục tiêu</w:t>
            </w:r>
          </w:p>
        </w:tc>
        <w:tc>
          <w:tcPr>
            <w:tcW w:type="dxa" w:w="6826"/>
            <w:tcMar>
              <w:top w:type="dxa" w:w="60"/>
              <w:left w:type="dxa" w:w="100"/>
              <w:bottom w:type="dxa" w:w="60"/>
              <w:right w:type="dxa" w:w="100"/>
            </w:tcMar>
            <w:vAlign w:val="center"/>
          </w:tcPr>
          <w:p>
            <w:pPr>
              <w:spacing w:after="40"/>
            </w:pPr>
            <w:r>
              <w:t xml:space="preserve">sales — số lượng bán mỗi ngày của từng cặp (item_id, store_id). Phân bố lệch phải mạnh, 68,2% giá trị bằng 0 (đặc biệt HOBBIES ~80%).</w:t>
            </w:r>
          </w:p>
        </w:tc>
      </w:tr>
      <w:tr>
        <w:tc>
          <w:tcPr>
            <w:tcW w:type="dxa" w:w="2200"/>
            <w:tcMar>
              <w:top w:type="dxa" w:w="60"/>
              <w:left w:type="dxa" w:w="100"/>
              <w:bottom w:type="dxa" w:w="60"/>
              <w:right w:type="dxa" w:w="100"/>
            </w:tcMar>
            <w:vAlign w:val="center"/>
          </w:tcPr>
          <w:p>
            <w:pPr>
              <w:spacing w:after="40"/>
            </w:pPr>
            <w:r>
              <w:t xml:space="preserve">Chất lượng dữ liệu</w:t>
            </w:r>
          </w:p>
        </w:tc>
        <w:tc>
          <w:tcPr>
            <w:tcW w:type="dxa" w:w="6826"/>
            <w:tcMar>
              <w:top w:type="dxa" w:w="60"/>
              <w:left w:type="dxa" w:w="100"/>
              <w:bottom w:type="dxa" w:w="60"/>
              <w:right w:type="dxa" w:w="100"/>
            </w:tcMar>
            <w:vAlign w:val="center"/>
          </w:tcPr>
          <w:p>
            <w:pPr>
              <w:spacing w:after="40"/>
            </w:pPr>
            <w:r>
              <w:t xml:space="preserve">Không thiếu dữ liệu doanh số (chuỗi liên tục theo ngày); phần lớn sản phẩm (đỉnh nhọn ở std ≈ 0) không đổi giá trong suốt 5 năm, một số ít có biến động giá lớn (&gt;0,5); ngày Giáng sinh (25/12) hằng năm là ngoại lệ do cửa hàng đóng cửa (sales = 0 toàn hệ thống).</w:t>
            </w:r>
          </w:p>
        </w:tc>
      </w:tr>
      <w:tr>
        <w:tc>
          <w:tcPr>
            <w:tcW w:type="dxa" w:w="2200"/>
            <w:tcMar>
              <w:top w:type="dxa" w:w="60"/>
              <w:left w:type="dxa" w:w="100"/>
              <w:bottom w:type="dxa" w:w="60"/>
              <w:right w:type="dxa" w:w="100"/>
            </w:tcMar>
            <w:vAlign w:val="center"/>
          </w:tcPr>
          <w:p>
            <w:pPr>
              <w:spacing w:after="40"/>
            </w:pPr>
            <w:r>
              <w:t xml:space="preserve">Kết quả khảo sát ban đầu</w:t>
            </w:r>
          </w:p>
        </w:tc>
        <w:tc>
          <w:tcPr>
            <w:tcW w:type="dxa" w:w="6826"/>
            <w:tcMar>
              <w:top w:type="dxa" w:w="60"/>
              <w:left w:type="dxa" w:w="100"/>
              <w:bottom w:type="dxa" w:w="60"/>
              <w:right w:type="dxa" w:w="100"/>
            </w:tcMar>
            <w:vAlign w:val="center"/>
          </w:tcPr>
          <w:p>
            <w:pPr>
              <w:spacing w:after="40"/>
            </w:pPr>
            <w:r>
              <w:t xml:space="preserve">(1) Sparsity theo category — HOBBIES ~77%, HOUSEHOLD ~71%, FOODS ~62% giá trị 0. (2) Thứ Bảy/Chủ Nhật có doanh số cao vượt trội so với giữa tuần, Thứ Năm thấp nhất, nhất quán qua mọi tháng (heatmap). (3) Doanh số theo tháng khá ổn định, tháng 2/3/8 nhỉnh hơn, tháng 11/12 giảm nhẹ. (4) CA_3 bán ra gấp đôi CA_4; FOODS_3 chiếm hơn nửa doanh số ngành FOODS. (5) Ngày có Event không làm tăng doanh số trung bình (do trùng ngày nghỉ lễ đóng cửa), trong khi ngày SNAP làm tăng rõ rệt doanh số FOODS. (6) Tương quan chéo bang cao nhất trong cùng ngành hàng (vd FOODS ở CA/TX/WI ~0,74–0,85), cho thấy hành vi mua FOODS đồng pha toàn quốc trong khi HOBBIES khác biệt hơn theo bang.</w:t>
            </w:r>
          </w:p>
        </w:tc>
      </w:tr>
    </w:tbl>
    <w:p>
      <w:pPr>
        <w:pStyle w:val="Heading2"/>
        <w:spacing w:after="120" w:before="250"/>
      </w:pPr>
      <w:r>
        <w:t xml:space="preserve">Mục 6. Phương pháp tiền xử lý dữ liệu</w:t>
      </w:r>
    </w:p>
    <w:p>
      <w:pPr>
        <w:pStyle w:val="ListParagraph"/>
        <w:numPr>
          <w:ilvl w:val="0"/>
          <w:numId w:val="2"/>
        </w:numPr>
        <w:spacing w:after="80"/>
        <w:jc w:val="both"/>
      </w:pPr>
      <w:r>
        <w:t xml:space="preserve">Giá trị thiếu: sell_price có thể thiếu ở giai đoạn sản phẩm chưa được bán (chưa ra mắt/ngừng bán) — giữ nguyên NaN làm tín hiệu 'sản phẩm không khả dụng', không impute cơ học theo khuyến nghị của Hobor et al.</w:t>
      </w:r>
    </w:p>
    <w:p>
      <w:pPr>
        <w:pStyle w:val="ListParagraph"/>
        <w:numPr>
          <w:ilvl w:val="0"/>
          <w:numId w:val="2"/>
        </w:numPr>
        <w:spacing w:after="80"/>
        <w:jc w:val="both"/>
      </w:pPr>
      <w:r>
        <w:t xml:space="preserve">Trùng lặp/mâu thuẫn: kiểm tra khoá (item_id, store_id, date) là duy nhất; loại các dòng trùng nếu có.</w:t>
      </w:r>
    </w:p>
    <w:p>
      <w:pPr>
        <w:pStyle w:val="ListParagraph"/>
        <w:numPr>
          <w:ilvl w:val="0"/>
          <w:numId w:val="2"/>
        </w:numPr>
        <w:spacing w:after="80"/>
        <w:jc w:val="both"/>
      </w:pPr>
      <w:r>
        <w:t xml:space="preserve">Giá trị ngoại lai: doanh số cao bất thường vào các đợt khuyến mãi lớn được giữ lại (không loại bỏ) vì phản ánh đúng nhu cầu thực; chỉ gắn cờ để mô hình học được qua đặc trưng event/SNAP.</w:t>
      </w:r>
    </w:p>
    <w:p>
      <w:pPr>
        <w:pStyle w:val="ListParagraph"/>
        <w:numPr>
          <w:ilvl w:val="0"/>
          <w:numId w:val="2"/>
        </w:numPr>
        <w:spacing w:after="80"/>
        <w:jc w:val="both"/>
      </w:pPr>
      <w:r>
        <w:t xml:space="preserve">Biến đổi dữ liệu: tạo đặc trưng lag (7/14/28 ngày) và rolling mean/std; mã hoá event_type/event_name và store_id/dept_id bằng target/CatBoost encoding; chuẩn hoá không bắt buộc với mô hình dựa trên cây.</w:t>
      </w:r>
    </w:p>
    <w:p>
      <w:pPr>
        <w:pStyle w:val="ListParagraph"/>
        <w:numPr>
          <w:ilvl w:val="0"/>
          <w:numId w:val="2"/>
        </w:numPr>
        <w:spacing w:after="80"/>
        <w:jc w:val="both"/>
      </w:pPr>
      <w:r>
        <w:t xml:space="preserve">Xử lý sparsity (thay cho 'mất cân bằng lớp' vì đây là bài toán hồi quy/đếm): dùng hàm mục tiêu Tweedie hoặc Poisson thay cho MSE để mô hình học đúng phân bố nhiều giá trị 0; cân nhắc mô hình 2 giai đoạn (xác suất bán được × số lượng nếu bán được) nếu thời gian cho phép.</w:t>
      </w:r>
    </w:p>
    <w:p>
      <w:pPr>
        <w:pStyle w:val="ListParagraph"/>
        <w:numPr>
          <w:ilvl w:val="0"/>
          <w:numId w:val="2"/>
        </w:numPr>
        <w:spacing w:after="80"/>
        <w:jc w:val="both"/>
      </w:pPr>
      <w:r>
        <w:t xml:space="preserve">Lựa chọn đặc trưng: dùng feature importance của LightGBM/XGBoost hoặc Boruta để loại bớt đặc trưng ít đóng góp, giảm thời gian huấn luyện trên tập lớn.</w:t>
      </w:r>
    </w:p>
    <w:p>
      <w:pPr>
        <w:pStyle w:val="Heading2"/>
        <w:spacing w:after="120" w:before="250"/>
      </w:pPr>
      <w:r>
        <w:t xml:space="preserve">Mục 7. Phương pháp khai phá dữ liệu dự kiến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2726"/>
      </w:tblGrid>
      <w:tr>
        <w:tc>
          <w:tcPr>
            <w:tcW w:type="dxa" w:w="1500"/>
            <w:shd w:fill="D9D9D9" w:val="clear"/>
            <w:tcMar>
              <w:top w:type="dxa" w:w="60"/>
              <w:left w:type="dxa" w:w="100"/>
              <w:bottom w:type="dxa" w:w="60"/>
              <w:right w:type="dxa" w:w="100"/>
            </w:tcMar>
            <w:vAlign w:val="center"/>
          </w:tcPr>
          <w:p>
            <w:pPr>
              <w:spacing w:after="40"/>
            </w:pPr>
            <w:r>
              <w:rPr>
                <w:b/>
                <w:bCs/>
              </w:rPr>
              <w:t xml:space="preserve">Phương pháp</w:t>
            </w:r>
          </w:p>
        </w:tc>
        <w:tc>
          <w:tcPr>
            <w:tcW w:type="dxa" w:w="2400"/>
            <w:shd w:fill="D9D9D9" w:val="clear"/>
            <w:tcMar>
              <w:top w:type="dxa" w:w="60"/>
              <w:left w:type="dxa" w:w="100"/>
              <w:bottom w:type="dxa" w:w="60"/>
              <w:right w:type="dxa" w:w="100"/>
            </w:tcMar>
            <w:vAlign w:val="center"/>
          </w:tcPr>
          <w:p>
            <w:pPr>
              <w:spacing w:after="40"/>
            </w:pPr>
            <w:r>
              <w:rPr>
                <w:b/>
                <w:bCs/>
              </w:rPr>
              <w:t xml:space="preserve">Ý tưởng cốt lõi &amp; ưu điểm</w:t>
            </w:r>
          </w:p>
        </w:tc>
        <w:tc>
          <w:tcPr>
            <w:tcW w:type="dxa" w:w="2400"/>
            <w:shd w:fill="D9D9D9" w:val="clear"/>
            <w:tcMar>
              <w:top w:type="dxa" w:w="60"/>
              <w:left w:type="dxa" w:w="100"/>
              <w:bottom w:type="dxa" w:w="60"/>
              <w:right w:type="dxa" w:w="100"/>
            </w:tcMar>
            <w:vAlign w:val="center"/>
          </w:tcPr>
          <w:p>
            <w:pPr>
              <w:spacing w:after="40"/>
            </w:pPr>
            <w:r>
              <w:rPr>
                <w:b/>
                <w:bCs/>
              </w:rPr>
              <w:t xml:space="preserve">Nhược điểm / độ phức tạp</w:t>
            </w:r>
          </w:p>
        </w:tc>
        <w:tc>
          <w:tcPr>
            <w:tcW w:type="dxa" w:w="2726"/>
            <w:shd w:fill="D9D9D9" w:val="clear"/>
            <w:tcMar>
              <w:top w:type="dxa" w:w="60"/>
              <w:left w:type="dxa" w:w="100"/>
              <w:bottom w:type="dxa" w:w="60"/>
              <w:right w:type="dxa" w:w="100"/>
            </w:tcMar>
            <w:vAlign w:val="center"/>
          </w:tcPr>
          <w:p>
            <w:pPr>
              <w:spacing w:after="40"/>
            </w:pPr>
            <w:r>
              <w:rPr>
                <w:b/>
                <w:bCs/>
              </w:rPr>
              <w:t xml:space="preserve">Lý do phù hợp</w:t>
            </w:r>
          </w:p>
        </w:tc>
      </w:tr>
      <w:tr>
        <w:tc>
          <w:tcPr>
            <w:tcW w:type="dxa" w:w="1500"/>
            <w:tcMar>
              <w:top w:type="dxa" w:w="60"/>
              <w:left w:type="dxa" w:w="100"/>
              <w:bottom w:type="dxa" w:w="60"/>
              <w:right w:type="dxa" w:w="100"/>
            </w:tcMar>
            <w:vAlign w:val="center"/>
          </w:tcPr>
          <w:p>
            <w:pPr>
              <w:spacing w:after="40"/>
            </w:pPr>
            <w:r>
              <w:t xml:space="preserve">Seasonal-naive (baseline)</w:t>
            </w:r>
          </w:p>
        </w:tc>
        <w:tc>
          <w:tcPr>
            <w:tcW w:type="dxa" w:w="2400"/>
            <w:tcMar>
              <w:top w:type="dxa" w:w="60"/>
              <w:left w:type="dxa" w:w="100"/>
              <w:bottom w:type="dxa" w:w="60"/>
              <w:right w:type="dxa" w:w="100"/>
            </w:tcMar>
            <w:vAlign w:val="center"/>
          </w:tcPr>
          <w:p>
            <w:pPr>
              <w:spacing w:after="40"/>
            </w:pPr>
            <w:r>
              <w:t xml:space="preserve">Dự báo bằng giá trị cùng kỳ tuần trước; đơn giản, không cần huấn luyện.</w:t>
            </w:r>
          </w:p>
        </w:tc>
        <w:tc>
          <w:tcPr>
            <w:tcW w:type="dxa" w:w="2400"/>
            <w:tcMar>
              <w:top w:type="dxa" w:w="60"/>
              <w:left w:type="dxa" w:w="100"/>
              <w:bottom w:type="dxa" w:w="60"/>
              <w:right w:type="dxa" w:w="100"/>
            </w:tcMar>
            <w:vAlign w:val="center"/>
          </w:tcPr>
          <w:p>
            <w:pPr>
              <w:spacing w:after="40"/>
            </w:pPr>
            <w:r>
              <w:t xml:space="preserve">Không nắm bắt xu hướng, không dùng được biến ngoại sinh (event, SNAP, giá).</w:t>
            </w:r>
          </w:p>
        </w:tc>
        <w:tc>
          <w:tcPr>
            <w:tcW w:type="dxa" w:w="2726"/>
            <w:tcMar>
              <w:top w:type="dxa" w:w="60"/>
              <w:left w:type="dxa" w:w="100"/>
              <w:bottom w:type="dxa" w:w="60"/>
              <w:right w:type="dxa" w:w="100"/>
            </w:tcMar>
            <w:vAlign w:val="center"/>
          </w:tcPr>
          <w:p>
            <w:pPr>
              <w:spacing w:after="40"/>
            </w:pPr>
            <w:r>
              <w:t xml:space="preserve">Mốc so sánh bắt buộc theo yêu cầu Lab 3; phản ánh 'hiện trạng làm thủ công'.</w:t>
            </w:r>
          </w:p>
        </w:tc>
      </w:tr>
      <w:tr>
        <w:tc>
          <w:tcPr>
            <w:tcW w:type="dxa" w:w="1500"/>
            <w:tcMar>
              <w:top w:type="dxa" w:w="60"/>
              <w:left w:type="dxa" w:w="100"/>
              <w:bottom w:type="dxa" w:w="60"/>
              <w:right w:type="dxa" w:w="100"/>
            </w:tcMar>
            <w:vAlign w:val="center"/>
          </w:tcPr>
          <w:p>
            <w:pPr>
              <w:spacing w:after="40"/>
            </w:pPr>
            <w:r>
              <w:t xml:space="preserve">XGBoost</w:t>
            </w:r>
          </w:p>
        </w:tc>
        <w:tc>
          <w:tcPr>
            <w:tcW w:type="dxa" w:w="2400"/>
            <w:tcMar>
              <w:top w:type="dxa" w:w="60"/>
              <w:left w:type="dxa" w:w="100"/>
              <w:bottom w:type="dxa" w:w="60"/>
              <w:right w:type="dxa" w:w="100"/>
            </w:tcMar>
            <w:vAlign w:val="center"/>
          </w:tcPr>
          <w:p>
            <w:pPr>
              <w:spacing w:after="40"/>
            </w:pPr>
            <w:r>
              <w:t xml:space="preserve">Gradient boosting cây, xử lý sparse/missing tự động; độ phức tạp huấn luyện trung bình.</w:t>
            </w:r>
          </w:p>
        </w:tc>
        <w:tc>
          <w:tcPr>
            <w:tcW w:type="dxa" w:w="2400"/>
            <w:tcMar>
              <w:top w:type="dxa" w:w="60"/>
              <w:left w:type="dxa" w:w="100"/>
              <w:bottom w:type="dxa" w:w="60"/>
              <w:right w:type="dxa" w:w="100"/>
            </w:tcMar>
            <w:vAlign w:val="center"/>
          </w:tcPr>
          <w:p>
            <w:pPr>
              <w:spacing w:after="40"/>
            </w:pPr>
            <w:r>
              <w:t xml:space="preserve">Cần tinh chỉnh nhiều siêu tham số; chậm hơn LightGBM trên dữ liệu lớn.</w:t>
            </w:r>
          </w:p>
        </w:tc>
        <w:tc>
          <w:tcPr>
            <w:tcW w:type="dxa" w:w="2726"/>
            <w:tcMar>
              <w:top w:type="dxa" w:w="60"/>
              <w:left w:type="dxa" w:w="100"/>
              <w:bottom w:type="dxa" w:w="60"/>
              <w:right w:type="dxa" w:w="100"/>
            </w:tcMar>
            <w:vAlign w:val="center"/>
          </w:tcPr>
          <w:p>
            <w:pPr>
              <w:spacing w:after="40"/>
            </w:pPr>
            <w:r>
              <w:t xml:space="preserve">Baseline mạnh, có cơ chế xử lý missing phù hợp với sell_price bị thiếu theo giai đoạn.</w:t>
            </w:r>
          </w:p>
        </w:tc>
      </w:tr>
      <w:tr>
        <w:tc>
          <w:tcPr>
            <w:tcW w:type="dxa" w:w="1500"/>
            <w:tcMar>
              <w:top w:type="dxa" w:w="60"/>
              <w:left w:type="dxa" w:w="100"/>
              <w:bottom w:type="dxa" w:w="60"/>
              <w:right w:type="dxa" w:w="100"/>
            </w:tcMar>
            <w:vAlign w:val="center"/>
          </w:tcPr>
          <w:p>
            <w:pPr>
              <w:spacing w:after="40"/>
            </w:pPr>
            <w:r>
              <w:t xml:space="preserve">LightGBM (Tweedie/Poisson objective)</w:t>
            </w:r>
          </w:p>
        </w:tc>
        <w:tc>
          <w:tcPr>
            <w:tcW w:type="dxa" w:w="2400"/>
            <w:tcMar>
              <w:top w:type="dxa" w:w="60"/>
              <w:left w:type="dxa" w:w="100"/>
              <w:bottom w:type="dxa" w:w="60"/>
              <w:right w:type="dxa" w:w="100"/>
            </w:tcMar>
            <w:vAlign w:val="center"/>
          </w:tcPr>
          <w:p>
            <w:pPr>
              <w:spacing w:after="40"/>
            </w:pPr>
            <w:r>
              <w:t xml:space="preserve">GOSS+EFB giúp huấn luyện nhanh trên dữ liệu lớn nhiều chiều; hàm mục tiêu Tweedie/Poisson phù hợp dữ liệu đếm nhiều số 0.</w:t>
            </w:r>
          </w:p>
        </w:tc>
        <w:tc>
          <w:tcPr>
            <w:tcW w:type="dxa" w:w="2400"/>
            <w:tcMar>
              <w:top w:type="dxa" w:w="60"/>
              <w:left w:type="dxa" w:w="100"/>
              <w:bottom w:type="dxa" w:w="60"/>
              <w:right w:type="dxa" w:w="100"/>
            </w:tcMar>
            <w:vAlign w:val="center"/>
          </w:tcPr>
          <w:p>
            <w:pPr>
              <w:spacing w:after="40"/>
            </w:pPr>
            <w:r>
              <w:t xml:space="preserve">Cần hiểu và tinh chỉnh hàm mục tiêu phù hợp; dễ overfit nếu không kiểm soát độ sâu cây.</w:t>
            </w:r>
          </w:p>
        </w:tc>
        <w:tc>
          <w:tcPr>
            <w:tcW w:type="dxa" w:w="2726"/>
            <w:tcMar>
              <w:top w:type="dxa" w:w="60"/>
              <w:left w:type="dxa" w:w="100"/>
              <w:bottom w:type="dxa" w:w="60"/>
              <w:right w:type="dxa" w:w="100"/>
            </w:tcMar>
            <w:vAlign w:val="center"/>
          </w:tcPr>
          <w:p>
            <w:pPr>
              <w:spacing w:after="40"/>
            </w:pPr>
            <w:r>
              <w:t xml:space="preserve">Mô hình chính — được chứng minh hiệu quả nhất trên chính bộ M5 (top 50/50 đội thi M5 dùng LightGBM).</w:t>
            </w:r>
          </w:p>
        </w:tc>
      </w:tr>
    </w:tbl>
    <w:p>
      <w:pPr>
        <w:spacing w:after="120"/>
        <w:jc w:val="both"/>
      </w:pPr>
      <w:r>
        <w:t xml:space="preserve">Chiến lược tinh chỉnh siêu tham số: sử dụng Optuna (thuật toán TPE) với time-series cross-validation (sliding window), tối ưu trực tiếp theo RMSSE/WRMSSE trên tập validation; công cụ triển khai: Python, LightGBM/XGBoost, scikit-learn, Optuna, chạy trên Google Colab.</w:t>
      </w:r>
    </w:p>
    <w:p>
      <w:pPr>
        <w:pStyle w:val="Heading2"/>
        <w:spacing w:after="120" w:before="250"/>
      </w:pPr>
      <w:r>
        <w:t xml:space="preserve">Mục 8. Kịch bản thực nghiệm và tiêu chí đánh giá</w:t>
      </w:r>
    </w:p>
    <w:p>
      <w:pPr>
        <w:spacing w:after="120"/>
        <w:jc w:val="both"/>
      </w:pPr>
      <w:r>
        <w:t xml:space="preserve">Chia dữ liệu theo mốc thời gian (bắt buộc với chuỗi thời gian, không chia ngẫu nhiên): tập huấn luyện là toàn bộ lịch sử trừ 28 + 28 ngày cuối; 28 ngày kế đến làm tập kiểm định (validation) để tinh chỉnh siêu tham số; 28 ngày cuối cùng làm tập kiểm thử (test), mô phỏng đúng cấu trúc dự báo 28 ngày của cuộc thi M5 gốc.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shd w:fill="D9D9D9" w:val="clear"/>
            <w:tcMar>
              <w:top w:type="dxa" w:w="60"/>
              <w:left w:type="dxa" w:w="100"/>
              <w:bottom w:type="dxa" w:w="60"/>
              <w:right w:type="dxa" w:w="100"/>
            </w:tcMar>
            <w:vAlign w:val="center"/>
          </w:tcPr>
          <w:p>
            <w:pPr>
              <w:spacing w:after="40"/>
            </w:pPr>
            <w:r>
              <w:rPr>
                <w:b/>
                <w:bCs/>
              </w:rPr>
              <w:t xml:space="preserve">Độ đo kỹ thuật</w:t>
            </w:r>
          </w:p>
        </w:tc>
        <w:tc>
          <w:tcPr>
            <w:tcW w:type="dxa" w:w="5226"/>
            <w:shd w:fill="D9D9D9" w:val="clear"/>
            <w:tcMar>
              <w:top w:type="dxa" w:w="60"/>
              <w:left w:type="dxa" w:w="100"/>
              <w:bottom w:type="dxa" w:w="60"/>
              <w:right w:type="dxa" w:w="100"/>
            </w:tcMar>
            <w:vAlign w:val="center"/>
          </w:tcPr>
          <w:p>
            <w:pPr>
              <w:spacing w:after="40"/>
            </w:pPr>
            <w:r>
              <w:rPr>
                <w:b/>
                <w:bCs/>
              </w:rPr>
              <w:t xml:space="preserve">Lý do chọn</w:t>
            </w:r>
          </w:p>
        </w:tc>
      </w:tr>
      <w:tr>
        <w:tc>
          <w:tcPr>
            <w:tcW w:type="dxa" w:w="3800"/>
            <w:tcMar>
              <w:top w:type="dxa" w:w="60"/>
              <w:left w:type="dxa" w:w="100"/>
              <w:bottom w:type="dxa" w:w="60"/>
              <w:right w:type="dxa" w:w="100"/>
            </w:tcMar>
            <w:vAlign w:val="center"/>
          </w:tcPr>
          <w:p>
            <w:pPr>
              <w:spacing w:after="40"/>
            </w:pPr>
            <w:r>
              <w:t xml:space="preserve">RMSSE / WRMSSE (theo đúng metric gốc của M5, có trọng số theo doanh thu)</w:t>
            </w:r>
          </w:p>
        </w:tc>
        <w:tc>
          <w:tcPr>
            <w:tcW w:type="dxa" w:w="5226"/>
            <w:tcMar>
              <w:top w:type="dxa" w:w="60"/>
              <w:left w:type="dxa" w:w="100"/>
              <w:bottom w:type="dxa" w:w="60"/>
              <w:right w:type="dxa" w:w="100"/>
            </w:tcMar>
            <w:vAlign w:val="center"/>
          </w:tcPr>
          <w:p>
            <w:pPr>
              <w:spacing w:after="40"/>
            </w:pPr>
            <w:r>
              <w:t xml:space="preserve">Chuẩn hoá theo mức biến động của từng chuỗi, phù hợp với dữ liệu nhiều chuỗi có quy mô rất khác nhau; WRMSSE phản ánh đúng giá trị kinh doanh của sản phẩm.</w:t>
            </w:r>
          </w:p>
        </w:tc>
      </w:tr>
      <w:tr>
        <w:tc>
          <w:tcPr>
            <w:tcW w:type="dxa" w:w="3800"/>
            <w:tcMar>
              <w:top w:type="dxa" w:w="60"/>
              <w:left w:type="dxa" w:w="100"/>
              <w:bottom w:type="dxa" w:w="60"/>
              <w:right w:type="dxa" w:w="100"/>
            </w:tcMar>
            <w:vAlign w:val="center"/>
          </w:tcPr>
          <w:p>
            <w:pPr>
              <w:spacing w:after="40"/>
            </w:pPr>
            <w:r>
              <w:t xml:space="preserve">MAE / MASE</w:t>
            </w:r>
          </w:p>
        </w:tc>
        <w:tc>
          <w:tcPr>
            <w:tcW w:type="dxa" w:w="5226"/>
            <w:tcMar>
              <w:top w:type="dxa" w:w="60"/>
              <w:left w:type="dxa" w:w="100"/>
              <w:bottom w:type="dxa" w:w="60"/>
              <w:right w:type="dxa" w:w="100"/>
            </w:tcMar>
            <w:vAlign w:val="center"/>
          </w:tcPr>
          <w:p>
            <w:pPr>
              <w:spacing w:after="40"/>
            </w:pPr>
            <w:r>
              <w:t xml:space="preserve">Dễ diễn giải, dùng làm chỉ số phụ để so sánh nhanh giữa các mô hình.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shd w:fill="D9D9D9" w:val="clear"/>
            <w:tcMar>
              <w:top w:type="dxa" w:w="60"/>
              <w:left w:type="dxa" w:w="100"/>
              <w:bottom w:type="dxa" w:w="60"/>
              <w:right w:type="dxa" w:w="100"/>
            </w:tcMar>
            <w:vAlign w:val="center"/>
          </w:tcPr>
          <w:p>
            <w:pPr>
              <w:spacing w:after="40"/>
            </w:pPr>
            <w:r>
              <w:rPr>
                <w:b/>
                <w:bCs/>
              </w:rPr>
              <w:t xml:space="preserve">Độ đo nghiệp vụ</w:t>
            </w:r>
          </w:p>
        </w:tc>
        <w:tc>
          <w:tcPr>
            <w:tcW w:type="dxa" w:w="5226"/>
            <w:shd w:fill="D9D9D9" w:val="clear"/>
            <w:tcMar>
              <w:top w:type="dxa" w:w="60"/>
              <w:left w:type="dxa" w:w="100"/>
              <w:bottom w:type="dxa" w:w="60"/>
              <w:right w:type="dxa" w:w="100"/>
            </w:tcMar>
            <w:vAlign w:val="center"/>
          </w:tcPr>
          <w:p>
            <w:pPr>
              <w:spacing w:after="40"/>
            </w:pPr>
            <w:r>
              <w:rPr>
                <w:b/>
                <w:bCs/>
              </w:rPr>
              <w:t xml:space="preserve">Cách quy đổi</w:t>
            </w:r>
          </w:p>
        </w:tc>
      </w:tr>
      <w:tr>
        <w:tc>
          <w:tcPr>
            <w:tcW w:type="dxa" w:w="3800"/>
            <w:tcMar>
              <w:top w:type="dxa" w:w="60"/>
              <w:left w:type="dxa" w:w="100"/>
              <w:bottom w:type="dxa" w:w="60"/>
              <w:right w:type="dxa" w:w="100"/>
            </w:tcMar>
            <w:vAlign w:val="center"/>
          </w:tcPr>
          <w:p>
            <w:pPr>
              <w:spacing w:after="40"/>
            </w:pPr>
            <w:r>
              <w:t xml:space="preserve">Ước tính chi phí stockout</w:t>
            </w:r>
          </w:p>
        </w:tc>
        <w:tc>
          <w:tcPr>
            <w:tcW w:type="dxa" w:w="5226"/>
            <w:tcMar>
              <w:top w:type="dxa" w:w="60"/>
              <w:left w:type="dxa" w:w="100"/>
              <w:bottom w:type="dxa" w:w="60"/>
              <w:right w:type="dxa" w:w="100"/>
            </w:tcMar>
            <w:vAlign w:val="center"/>
          </w:tcPr>
          <w:p>
            <w:pPr>
              <w:spacing w:after="40"/>
            </w:pPr>
            <w:r>
              <w:t xml:space="preserve">Số đơn vị dự báo thiếu (khi thực tế &gt; dự báo) × giá bán trung bình, cộng dồn theo kỳ kiểm thử.</w:t>
            </w:r>
          </w:p>
        </w:tc>
      </w:tr>
      <w:tr>
        <w:tc>
          <w:tcPr>
            <w:tcW w:type="dxa" w:w="3800"/>
            <w:tcMar>
              <w:top w:type="dxa" w:w="60"/>
              <w:left w:type="dxa" w:w="100"/>
              <w:bottom w:type="dxa" w:w="60"/>
              <w:right w:type="dxa" w:w="100"/>
            </w:tcMar>
            <w:vAlign w:val="center"/>
          </w:tcPr>
          <w:p>
            <w:pPr>
              <w:spacing w:after="40"/>
            </w:pPr>
            <w:r>
              <w:t xml:space="preserve">Ước tính chi phí tồn kho dư</w:t>
            </w:r>
          </w:p>
        </w:tc>
        <w:tc>
          <w:tcPr>
            <w:tcW w:type="dxa" w:w="5226"/>
            <w:tcMar>
              <w:top w:type="dxa" w:w="60"/>
              <w:left w:type="dxa" w:w="100"/>
              <w:bottom w:type="dxa" w:w="60"/>
              <w:right w:type="dxa" w:w="100"/>
            </w:tcMar>
            <w:vAlign w:val="center"/>
          </w:tcPr>
          <w:p>
            <w:pPr>
              <w:spacing w:after="40"/>
            </w:pPr>
            <w:r>
              <w:t xml:space="preserve">Số đơn vị dự báo thừa (khi dự báo &gt; thực tế) × chi phí lưu kho ước lượng, cộng dồn theo kỳ kiểm thử.</w:t>
            </w:r>
          </w:p>
        </w:tc>
      </w:tr>
    </w:tbl>
    <w:p>
      <w:pPr>
        <w:spacing w:after="120"/>
        <w:jc w:val="both"/>
      </w:pPr>
      <w:r>
        <w:t xml:space="preserve">Ngưỡng chấp nhận: RMSSE trên tập kiểm thử của mô hình chính (LightGBM) giảm tối thiểu 10% tương đối so với baseline seasonal-naive.</w:t>
      </w:r>
    </w:p>
    <w:p>
      <w:pPr>
        <w:pStyle w:val="Heading2"/>
        <w:spacing w:after="120" w:before="250"/>
      </w:pPr>
      <w:r>
        <w:t xml:space="preserve">Mục 9. Sản phẩm dự kiến và phương án ứng dụng</w:t>
      </w:r>
    </w:p>
    <w:p>
      <w:pPr>
        <w:pStyle w:val="ListParagraph"/>
        <w:numPr>
          <w:ilvl w:val="0"/>
          <w:numId w:val="2"/>
        </w:numPr>
        <w:spacing w:after="80"/>
        <w:jc w:val="both"/>
      </w:pPr>
      <w:r>
        <w:t xml:space="preserve">Mã nguồn dạng notebook: EDA, tiền xử lý, huấn luyện và đánh giá mô hình.</w:t>
      </w:r>
    </w:p>
    <w:p>
      <w:pPr>
        <w:pStyle w:val="ListParagraph"/>
        <w:numPr>
          <w:ilvl w:val="0"/>
          <w:numId w:val="2"/>
        </w:numPr>
        <w:spacing w:after="80"/>
        <w:jc w:val="both"/>
      </w:pPr>
      <w:r>
        <w:t xml:space="preserve">Mô hình đã huấn luyện (LightGBM/XGBoost) lưu dưới dạng file có thể tái sử dụng để dự báo cho kỳ tiếp theo.</w:t>
      </w:r>
    </w:p>
    <w:p>
      <w:pPr>
        <w:pStyle w:val="ListParagraph"/>
        <w:numPr>
          <w:ilvl w:val="0"/>
          <w:numId w:val="2"/>
        </w:numPr>
        <w:spacing w:after="80"/>
        <w:jc w:val="both"/>
      </w:pPr>
      <w:r>
        <w:t xml:space="preserve">Báo cáo và slides trình bày kết quả, kèm bảng so sánh mô hình.</w:t>
      </w:r>
    </w:p>
    <w:p>
      <w:pPr>
        <w:pStyle w:val="ListParagraph"/>
        <w:numPr>
          <w:ilvl w:val="0"/>
          <w:numId w:val="2"/>
        </w:numPr>
        <w:spacing w:after="80"/>
        <w:jc w:val="both"/>
      </w:pPr>
      <w:r>
        <w:t xml:space="preserve">Bảng điều khiển (dashboard) demo trực quan: doanh số dự báo theo store/department, cảnh báo nguy cơ hết hàng.</w:t>
      </w:r>
    </w:p>
    <w:p>
      <w:pPr>
        <w:spacing w:after="120"/>
        <w:jc w:val="both"/>
      </w:pPr>
      <w:r>
        <w:t xml:space="preserve">Người dùng doanh nghiệp (bộ phận vận hành kho) sẽ dùng dashboard để xem dự báo 28 ngày tới theo từng cửa hàng/sản phẩm, từ đó điều chỉnh kế hoạch nhập hàng hằng tuần. Kiến trúc triển khai đề xuất: retrain mô hình định kỳ (hằng tuần) trên dữ liệu mới, lưu kết quả dự báo vào kho dữ liệu trung gian để dashboard đọc; giám sát bằng cách theo dõi RMSSE thực tế theo thời gian và cảnh báo khi vượt ngưỡng.</w:t>
      </w:r>
    </w:p>
    <w:p>
      <w:pPr>
        <w:pStyle w:val="Heading2"/>
        <w:spacing w:after="120" w:before="250"/>
      </w:pPr>
      <w:r>
        <w:t xml:space="preserve">Mục 10. Kế hoạch thực hiện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800"/>
        <w:gridCol w:w="1900"/>
        <w:gridCol w:w="1726"/>
      </w:tblGrid>
      <w:tr>
        <w:tc>
          <w:tcPr>
            <w:tcW w:type="dxa" w:w="900"/>
            <w:shd w:fill="D9D9D9" w:val="clear"/>
            <w:tcMar>
              <w:top w:type="dxa" w:w="60"/>
              <w:left w:type="dxa" w:w="100"/>
              <w:bottom w:type="dxa" w:w="60"/>
              <w:right w:type="dxa" w:w="100"/>
            </w:tcMar>
            <w:vAlign w:val="center"/>
          </w:tcPr>
          <w:p>
            <w:pPr>
              <w:spacing w:after="40"/>
            </w:pPr>
            <w:r>
              <w:rPr>
                <w:b/>
                <w:bCs/>
              </w:rPr>
              <w:t xml:space="preserve">Tuần</w:t>
            </w:r>
          </w:p>
        </w:tc>
        <w:tc>
          <w:tcPr>
            <w:tcW w:type="dxa" w:w="2700"/>
            <w:shd w:fill="D9D9D9" w:val="clear"/>
            <w:tcMar>
              <w:top w:type="dxa" w:w="60"/>
              <w:left w:type="dxa" w:w="100"/>
              <w:bottom w:type="dxa" w:w="60"/>
              <w:right w:type="dxa" w:w="100"/>
            </w:tcMar>
            <w:vAlign w:val="center"/>
          </w:tcPr>
          <w:p>
            <w:pPr>
              <w:spacing w:after="40"/>
            </w:pPr>
            <w:r>
              <w:rPr>
                <w:b/>
                <w:bCs/>
              </w:rPr>
              <w:t xml:space="preserve">Nội dung công việc</w:t>
            </w:r>
          </w:p>
        </w:tc>
        <w:tc>
          <w:tcPr>
            <w:tcW w:type="dxa" w:w="1800"/>
            <w:shd w:fill="D9D9D9" w:val="clear"/>
            <w:tcMar>
              <w:top w:type="dxa" w:w="60"/>
              <w:left w:type="dxa" w:w="100"/>
              <w:bottom w:type="dxa" w:w="60"/>
              <w:right w:type="dxa" w:w="100"/>
            </w:tcMar>
            <w:vAlign w:val="center"/>
          </w:tcPr>
          <w:p>
            <w:pPr>
              <w:spacing w:after="40"/>
            </w:pPr>
            <w:r>
              <w:rPr>
                <w:b/>
                <w:bCs/>
              </w:rPr>
              <w:t xml:space="preserve">Người phụ trách</w:t>
            </w:r>
          </w:p>
        </w:tc>
        <w:tc>
          <w:tcPr>
            <w:tcW w:type="dxa" w:w="1900"/>
            <w:shd w:fill="D9D9D9" w:val="clear"/>
            <w:tcMar>
              <w:top w:type="dxa" w:w="60"/>
              <w:left w:type="dxa" w:w="100"/>
              <w:bottom w:type="dxa" w:w="60"/>
              <w:right w:type="dxa" w:w="100"/>
            </w:tcMar>
            <w:vAlign w:val="center"/>
          </w:tcPr>
          <w:p>
            <w:pPr>
              <w:spacing w:after="40"/>
            </w:pPr>
            <w:r>
              <w:rPr>
                <w:b/>
                <w:bCs/>
              </w:rPr>
              <w:t xml:space="preserve">Sản phẩm đầu ra</w:t>
            </w:r>
          </w:p>
        </w:tc>
        <w:tc>
          <w:tcPr>
            <w:tcW w:type="dxa" w:w="1726"/>
            <w:shd w:fill="D9D9D9" w:val="clear"/>
            <w:tcMar>
              <w:top w:type="dxa" w:w="60"/>
              <w:left w:type="dxa" w:w="100"/>
              <w:bottom w:type="dxa" w:w="60"/>
              <w:right w:type="dxa" w:w="100"/>
            </w:tcMar>
            <w:vAlign w:val="center"/>
          </w:tcPr>
          <w:p>
            <w:pPr>
              <w:spacing w:after="40"/>
            </w:pPr>
            <w:r>
              <w:rPr>
                <w:b/>
                <w:bCs/>
              </w:rPr>
              <w:t xml:space="preserve">Mốc nghiệm thu</w:t>
            </w:r>
          </w:p>
        </w:tc>
      </w:tr>
      <w:tr>
        <w:tc>
          <w:tcPr>
            <w:tcW w:type="dxa" w:w="900"/>
            <w:tcMar>
              <w:top w:type="dxa" w:w="60"/>
              <w:left w:type="dxa" w:w="100"/>
              <w:bottom w:type="dxa" w:w="60"/>
              <w:right w:type="dxa" w:w="100"/>
            </w:tcMar>
            <w:vAlign w:val="center"/>
          </w:tcPr>
          <w:p>
            <w:pPr>
              <w:spacing w:after="40"/>
            </w:pPr>
            <w:r>
              <w:t xml:space="preserve">1</w:t>
            </w:r>
          </w:p>
        </w:tc>
        <w:tc>
          <w:tcPr>
            <w:tcW w:type="dxa" w:w="2700"/>
            <w:tcMar>
              <w:top w:type="dxa" w:w="60"/>
              <w:left w:type="dxa" w:w="100"/>
              <w:bottom w:type="dxa" w:w="60"/>
              <w:right w:type="dxa" w:w="100"/>
            </w:tcMar>
            <w:vAlign w:val="center"/>
          </w:tcPr>
          <w:p>
            <w:pPr>
              <w:spacing w:after="40"/>
            </w:pPr>
            <w:r>
              <w:t xml:space="preserve">Rà soát dữ liệu, hoàn thiện EDA, xác định bài toán và viết nháp Thuyết minh đề tài</w:t>
            </w:r>
          </w:p>
        </w:tc>
        <w:tc>
          <w:tcPr>
            <w:tcW w:type="dxa" w:w="1800"/>
            <w:tcMar>
              <w:top w:type="dxa" w:w="60"/>
              <w:left w:type="dxa" w:w="100"/>
              <w:bottom w:type="dxa" w:w="60"/>
              <w:right w:type="dxa" w:w="100"/>
            </w:tcMar>
            <w:vAlign w:val="center"/>
          </w:tcPr>
          <w:p>
            <w:pPr>
              <w:spacing w:after="40"/>
            </w:pPr>
            <w:r>
              <w:t xml:space="preserve">[Cần điền]</w:t>
            </w:r>
          </w:p>
        </w:tc>
        <w:tc>
          <w:tcPr>
            <w:tcW w:type="dxa" w:w="1900"/>
            <w:tcMar>
              <w:top w:type="dxa" w:w="60"/>
              <w:left w:type="dxa" w:w="100"/>
              <w:bottom w:type="dxa" w:w="60"/>
              <w:right w:type="dxa" w:w="100"/>
            </w:tcMar>
            <w:vAlign w:val="center"/>
          </w:tcPr>
          <w:p>
            <w:pPr>
              <w:spacing w:after="40"/>
            </w:pPr>
            <w:r>
              <w:t xml:space="preserve">Bản nháp Thuyết minh đề tài</w:t>
            </w:r>
          </w:p>
        </w:tc>
        <w:tc>
          <w:tcPr>
            <w:tcW w:type="dxa" w:w="1726"/>
            <w:tcMar>
              <w:top w:type="dxa" w:w="60"/>
              <w:left w:type="dxa" w:w="100"/>
              <w:bottom w:type="dxa" w:w="60"/>
              <w:right w:type="dxa" w:w="100"/>
            </w:tcMar>
            <w:vAlign w:val="center"/>
          </w:tcPr>
          <w:p>
            <w:pPr>
              <w:spacing w:after="40"/>
            </w:pPr>
            <w:r>
              <w:t xml:space="preserve">Buổi báo cáo Lab 3</w:t>
            </w:r>
          </w:p>
        </w:tc>
      </w:tr>
      <w:tr>
        <w:tc>
          <w:tcPr>
            <w:tcW w:type="dxa" w:w="900"/>
            <w:tcMar>
              <w:top w:type="dxa" w:w="60"/>
              <w:left w:type="dxa" w:w="100"/>
              <w:bottom w:type="dxa" w:w="60"/>
              <w:right w:type="dxa" w:w="100"/>
            </w:tcMar>
            <w:vAlign w:val="center"/>
          </w:tcPr>
          <w:p>
            <w:pPr>
              <w:spacing w:after="40"/>
            </w:pPr>
            <w:r>
              <w:t xml:space="preserve">2</w:t>
            </w:r>
          </w:p>
        </w:tc>
        <w:tc>
          <w:tcPr>
            <w:tcW w:type="dxa" w:w="2700"/>
            <w:tcMar>
              <w:top w:type="dxa" w:w="60"/>
              <w:left w:type="dxa" w:w="100"/>
              <w:bottom w:type="dxa" w:w="60"/>
              <w:right w:type="dxa" w:w="100"/>
            </w:tcMar>
            <w:vAlign w:val="center"/>
          </w:tcPr>
          <w:p>
            <w:pPr>
              <w:spacing w:after="40"/>
            </w:pPr>
            <w:r>
              <w:t xml:space="preserve">Xây dựng pipeline tiền xử lý và feature engineering</w:t>
            </w:r>
          </w:p>
        </w:tc>
        <w:tc>
          <w:tcPr>
            <w:tcW w:type="dxa" w:w="1800"/>
            <w:tcMar>
              <w:top w:type="dxa" w:w="60"/>
              <w:left w:type="dxa" w:w="100"/>
              <w:bottom w:type="dxa" w:w="60"/>
              <w:right w:type="dxa" w:w="100"/>
            </w:tcMar>
            <w:vAlign w:val="center"/>
          </w:tcPr>
          <w:p>
            <w:pPr>
              <w:spacing w:after="40"/>
            </w:pPr>
            <w:r>
              <w:t xml:space="preserve">[Cần điền]</w:t>
            </w:r>
          </w:p>
        </w:tc>
        <w:tc>
          <w:tcPr>
            <w:tcW w:type="dxa" w:w="1900"/>
            <w:tcMar>
              <w:top w:type="dxa" w:w="60"/>
              <w:left w:type="dxa" w:w="100"/>
              <w:bottom w:type="dxa" w:w="60"/>
              <w:right w:type="dxa" w:w="100"/>
            </w:tcMar>
            <w:vAlign w:val="center"/>
          </w:tcPr>
          <w:p>
            <w:pPr>
              <w:spacing w:after="40"/>
            </w:pPr>
            <w:r>
              <w:t xml:space="preserve">Notebook tiền xử lý</w:t>
            </w:r>
          </w:p>
        </w:tc>
        <w:tc>
          <w:tcPr>
            <w:tcW w:type="dxa" w:w="1726"/>
            <w:tcMar>
              <w:top w:type="dxa" w:w="60"/>
              <w:left w:type="dxa" w:w="100"/>
              <w:bottom w:type="dxa" w:w="60"/>
              <w:right w:type="dxa" w:w="100"/>
            </w:tcMar>
            <w:vAlign w:val="center"/>
          </w:tcPr>
          <w:p>
            <w:pPr>
              <w:spacing w:after="40"/>
            </w:pPr>
            <w:r>
              <w:t xml:space="preserve">Nội bộ nhóm</w:t>
            </w:r>
          </w:p>
        </w:tc>
      </w:tr>
      <w:tr>
        <w:tc>
          <w:tcPr>
            <w:tcW w:type="dxa" w:w="900"/>
            <w:tcMar>
              <w:top w:type="dxa" w:w="60"/>
              <w:left w:type="dxa" w:w="100"/>
              <w:bottom w:type="dxa" w:w="60"/>
              <w:right w:type="dxa" w:w="100"/>
            </w:tcMar>
            <w:vAlign w:val="center"/>
          </w:tcPr>
          <w:p>
            <w:pPr>
              <w:spacing w:after="40"/>
            </w:pPr>
            <w:r>
              <w:t xml:space="preserve">3</w:t>
            </w:r>
          </w:p>
        </w:tc>
        <w:tc>
          <w:tcPr>
            <w:tcW w:type="dxa" w:w="2700"/>
            <w:tcMar>
              <w:top w:type="dxa" w:w="60"/>
              <w:left w:type="dxa" w:w="100"/>
              <w:bottom w:type="dxa" w:w="60"/>
              <w:right w:type="dxa" w:w="100"/>
            </w:tcMar>
            <w:vAlign w:val="center"/>
          </w:tcPr>
          <w:p>
            <w:pPr>
              <w:spacing w:after="40"/>
            </w:pPr>
            <w:r>
              <w:t xml:space="preserve">Huấn luyện baseline và XGBoost</w:t>
            </w:r>
          </w:p>
        </w:tc>
        <w:tc>
          <w:tcPr>
            <w:tcW w:type="dxa" w:w="1800"/>
            <w:tcMar>
              <w:top w:type="dxa" w:w="60"/>
              <w:left w:type="dxa" w:w="100"/>
              <w:bottom w:type="dxa" w:w="60"/>
              <w:right w:type="dxa" w:w="100"/>
            </w:tcMar>
            <w:vAlign w:val="center"/>
          </w:tcPr>
          <w:p>
            <w:pPr>
              <w:spacing w:after="40"/>
            </w:pPr>
            <w:r>
              <w:t xml:space="preserve">[Cần điền]</w:t>
            </w:r>
          </w:p>
        </w:tc>
        <w:tc>
          <w:tcPr>
            <w:tcW w:type="dxa" w:w="1900"/>
            <w:tcMar>
              <w:top w:type="dxa" w:w="60"/>
              <w:left w:type="dxa" w:w="100"/>
              <w:bottom w:type="dxa" w:w="60"/>
              <w:right w:type="dxa" w:w="100"/>
            </w:tcMar>
            <w:vAlign w:val="center"/>
          </w:tcPr>
          <w:p>
            <w:pPr>
              <w:spacing w:after="40"/>
            </w:pPr>
            <w:r>
              <w:t xml:space="preserve">Kết quả baseline + XGBoost</w:t>
            </w:r>
          </w:p>
        </w:tc>
        <w:tc>
          <w:tcPr>
            <w:tcW w:type="dxa" w:w="1726"/>
            <w:tcMar>
              <w:top w:type="dxa" w:w="60"/>
              <w:left w:type="dxa" w:w="100"/>
              <w:bottom w:type="dxa" w:w="60"/>
              <w:right w:type="dxa" w:w="100"/>
            </w:tcMar>
            <w:vAlign w:val="center"/>
          </w:tcPr>
          <w:p>
            <w:pPr>
              <w:spacing w:after="40"/>
            </w:pPr>
            <w:r>
              <w:t xml:space="preserve">Nội bộ nhóm</w:t>
            </w:r>
          </w:p>
        </w:tc>
      </w:tr>
      <w:tr>
        <w:tc>
          <w:tcPr>
            <w:tcW w:type="dxa" w:w="900"/>
            <w:tcMar>
              <w:top w:type="dxa" w:w="60"/>
              <w:left w:type="dxa" w:w="100"/>
              <w:bottom w:type="dxa" w:w="60"/>
              <w:right w:type="dxa" w:w="100"/>
            </w:tcMar>
            <w:vAlign w:val="center"/>
          </w:tcPr>
          <w:p>
            <w:pPr>
              <w:spacing w:after="40"/>
            </w:pPr>
            <w:r>
              <w:t xml:space="preserve">4</w:t>
            </w:r>
          </w:p>
        </w:tc>
        <w:tc>
          <w:tcPr>
            <w:tcW w:type="dxa" w:w="2700"/>
            <w:tcMar>
              <w:top w:type="dxa" w:w="60"/>
              <w:left w:type="dxa" w:w="100"/>
              <w:bottom w:type="dxa" w:w="60"/>
              <w:right w:type="dxa" w:w="100"/>
            </w:tcMar>
            <w:vAlign w:val="center"/>
          </w:tcPr>
          <w:p>
            <w:pPr>
              <w:spacing w:after="40"/>
            </w:pPr>
            <w:r>
              <w:t xml:space="preserve">Huấn luyện LightGBM, tinh chỉnh siêu tham số bằng Optuna</w:t>
            </w:r>
          </w:p>
        </w:tc>
        <w:tc>
          <w:tcPr>
            <w:tcW w:type="dxa" w:w="1800"/>
            <w:tcMar>
              <w:top w:type="dxa" w:w="60"/>
              <w:left w:type="dxa" w:w="100"/>
              <w:bottom w:type="dxa" w:w="60"/>
              <w:right w:type="dxa" w:w="100"/>
            </w:tcMar>
            <w:vAlign w:val="center"/>
          </w:tcPr>
          <w:p>
            <w:pPr>
              <w:spacing w:after="40"/>
            </w:pPr>
            <w:r>
              <w:t xml:space="preserve">[Cần điền]</w:t>
            </w:r>
          </w:p>
        </w:tc>
        <w:tc>
          <w:tcPr>
            <w:tcW w:type="dxa" w:w="1900"/>
            <w:tcMar>
              <w:top w:type="dxa" w:w="60"/>
              <w:left w:type="dxa" w:w="100"/>
              <w:bottom w:type="dxa" w:w="60"/>
              <w:right w:type="dxa" w:w="100"/>
            </w:tcMar>
            <w:vAlign w:val="center"/>
          </w:tcPr>
          <w:p>
            <w:pPr>
              <w:spacing w:after="40"/>
            </w:pPr>
            <w:r>
              <w:t xml:space="preserve">Mô hình LightGBM tối ưu</w:t>
            </w:r>
          </w:p>
        </w:tc>
        <w:tc>
          <w:tcPr>
            <w:tcW w:type="dxa" w:w="1726"/>
            <w:tcMar>
              <w:top w:type="dxa" w:w="60"/>
              <w:left w:type="dxa" w:w="100"/>
              <w:bottom w:type="dxa" w:w="60"/>
              <w:right w:type="dxa" w:w="100"/>
            </w:tcMar>
            <w:vAlign w:val="center"/>
          </w:tcPr>
          <w:p>
            <w:pPr>
              <w:spacing w:after="40"/>
            </w:pPr>
            <w:r>
              <w:t xml:space="preserve">Nội bộ nhóm</w:t>
            </w:r>
          </w:p>
        </w:tc>
      </w:tr>
      <w:tr>
        <w:tc>
          <w:tcPr>
            <w:tcW w:type="dxa" w:w="900"/>
            <w:tcMar>
              <w:top w:type="dxa" w:w="60"/>
              <w:left w:type="dxa" w:w="100"/>
              <w:bottom w:type="dxa" w:w="60"/>
              <w:right w:type="dxa" w:w="100"/>
            </w:tcMar>
            <w:vAlign w:val="center"/>
          </w:tcPr>
          <w:p>
            <w:pPr>
              <w:spacing w:after="40"/>
            </w:pPr>
            <w:r>
              <w:t xml:space="preserve">5</w:t>
            </w:r>
          </w:p>
        </w:tc>
        <w:tc>
          <w:tcPr>
            <w:tcW w:type="dxa" w:w="2700"/>
            <w:tcMar>
              <w:top w:type="dxa" w:w="60"/>
              <w:left w:type="dxa" w:w="100"/>
              <w:bottom w:type="dxa" w:w="60"/>
              <w:right w:type="dxa" w:w="100"/>
            </w:tcMar>
            <w:vAlign w:val="center"/>
          </w:tcPr>
          <w:p>
            <w:pPr>
              <w:spacing w:after="40"/>
            </w:pPr>
            <w:r>
              <w:t xml:space="preserve">Đánh giá tổng hợp, xây dựng dashboard demo</w:t>
            </w:r>
          </w:p>
        </w:tc>
        <w:tc>
          <w:tcPr>
            <w:tcW w:type="dxa" w:w="1800"/>
            <w:tcMar>
              <w:top w:type="dxa" w:w="60"/>
              <w:left w:type="dxa" w:w="100"/>
              <w:bottom w:type="dxa" w:w="60"/>
              <w:right w:type="dxa" w:w="100"/>
            </w:tcMar>
            <w:vAlign w:val="center"/>
          </w:tcPr>
          <w:p>
            <w:pPr>
              <w:spacing w:after="40"/>
            </w:pPr>
            <w:r>
              <w:t xml:space="preserve">[Cần điền]</w:t>
            </w:r>
          </w:p>
        </w:tc>
        <w:tc>
          <w:tcPr>
            <w:tcW w:type="dxa" w:w="1900"/>
            <w:tcMar>
              <w:top w:type="dxa" w:w="60"/>
              <w:left w:type="dxa" w:w="100"/>
              <w:bottom w:type="dxa" w:w="60"/>
              <w:right w:type="dxa" w:w="100"/>
            </w:tcMar>
            <w:vAlign w:val="center"/>
          </w:tcPr>
          <w:p>
            <w:pPr>
              <w:spacing w:after="40"/>
            </w:pPr>
            <w:r>
              <w:t xml:space="preserve">Dashboard demo, bảng so sánh mô hình</w:t>
            </w:r>
          </w:p>
        </w:tc>
        <w:tc>
          <w:tcPr>
            <w:tcW w:type="dxa" w:w="1726"/>
            <w:tcMar>
              <w:top w:type="dxa" w:w="60"/>
              <w:left w:type="dxa" w:w="100"/>
              <w:bottom w:type="dxa" w:w="60"/>
              <w:right w:type="dxa" w:w="100"/>
            </w:tcMar>
            <w:vAlign w:val="center"/>
          </w:tcPr>
          <w:p>
            <w:pPr>
              <w:spacing w:after="40"/>
            </w:pPr>
            <w:r>
              <w:t xml:space="preserve">Nội bộ nhóm</w:t>
            </w:r>
          </w:p>
        </w:tc>
      </w:tr>
      <w:tr>
        <w:tc>
          <w:tcPr>
            <w:tcW w:type="dxa" w:w="900"/>
            <w:tcMar>
              <w:top w:type="dxa" w:w="60"/>
              <w:left w:type="dxa" w:w="100"/>
              <w:bottom w:type="dxa" w:w="60"/>
              <w:right w:type="dxa" w:w="100"/>
            </w:tcMar>
            <w:vAlign w:val="center"/>
          </w:tcPr>
          <w:p>
            <w:pPr>
              <w:spacing w:after="40"/>
            </w:pPr>
            <w:r>
              <w:t xml:space="preserve">6</w:t>
            </w:r>
          </w:p>
        </w:tc>
        <w:tc>
          <w:tcPr>
            <w:tcW w:type="dxa" w:w="2700"/>
            <w:tcMar>
              <w:top w:type="dxa" w:w="60"/>
              <w:left w:type="dxa" w:w="100"/>
              <w:bottom w:type="dxa" w:w="60"/>
              <w:right w:type="dxa" w:w="100"/>
            </w:tcMar>
            <w:vAlign w:val="center"/>
          </w:tcPr>
          <w:p>
            <w:pPr>
              <w:spacing w:after="40"/>
            </w:pPr>
            <w:r>
              <w:t xml:space="preserve">Hoàn thiện báo cáo, slides, bảo vệ đề tài</w:t>
            </w:r>
          </w:p>
        </w:tc>
        <w:tc>
          <w:tcPr>
            <w:tcW w:type="dxa" w:w="1800"/>
            <w:tcMar>
              <w:top w:type="dxa" w:w="60"/>
              <w:left w:type="dxa" w:w="100"/>
              <w:bottom w:type="dxa" w:w="60"/>
              <w:right w:type="dxa" w:w="100"/>
            </w:tcMar>
            <w:vAlign w:val="center"/>
          </w:tcPr>
          <w:p>
            <w:pPr>
              <w:spacing w:after="40"/>
            </w:pPr>
            <w:r>
              <w:t xml:space="preserve">[Cần điền]</w:t>
            </w:r>
          </w:p>
        </w:tc>
        <w:tc>
          <w:tcPr>
            <w:tcW w:type="dxa" w:w="1900"/>
            <w:tcMar>
              <w:top w:type="dxa" w:w="60"/>
              <w:left w:type="dxa" w:w="100"/>
              <w:bottom w:type="dxa" w:w="60"/>
              <w:right w:type="dxa" w:w="100"/>
            </w:tcMar>
            <w:vAlign w:val="center"/>
          </w:tcPr>
          <w:p>
            <w:pPr>
              <w:spacing w:after="40"/>
            </w:pPr>
            <w:r>
              <w:t xml:space="preserve">Báo cáo, slides, mã nguồn hoàn chỉnh</w:t>
            </w:r>
          </w:p>
        </w:tc>
        <w:tc>
          <w:tcPr>
            <w:tcW w:type="dxa" w:w="1726"/>
            <w:tcMar>
              <w:top w:type="dxa" w:w="60"/>
              <w:left w:type="dxa" w:w="100"/>
              <w:bottom w:type="dxa" w:w="60"/>
              <w:right w:type="dxa" w:w="100"/>
            </w:tcMar>
            <w:vAlign w:val="center"/>
          </w:tcPr>
          <w:p>
            <w:pPr>
              <w:spacing w:after="40"/>
            </w:pPr>
            <w:r>
              <w:t xml:space="preserve">Buổi báo cáo cuối kỳ</w:t>
            </w:r>
          </w:p>
        </w:tc>
      </w:tr>
    </w:tbl>
    <w:p>
      <w:pPr>
        <w:pStyle w:val="Heading2"/>
        <w:spacing w:after="120" w:before="250"/>
      </w:pPr>
      <w:r>
        <w:t xml:space="preserve">Mục 11. Phân công nhiệm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c>
          <w:tcPr>
            <w:tcW w:type="dxa" w:w="2200"/>
            <w:shd w:fill="D9D9D9" w:val="clear"/>
            <w:tcMar>
              <w:top w:type="dxa" w:w="60"/>
              <w:left w:type="dxa" w:w="100"/>
              <w:bottom w:type="dxa" w:w="60"/>
              <w:right w:type="dxa" w:w="100"/>
            </w:tcMar>
            <w:vAlign w:val="center"/>
          </w:tcPr>
          <w:p>
            <w:pPr>
              <w:spacing w:after="40"/>
            </w:pPr>
            <w:r>
              <w:rPr>
                <w:b/>
                <w:bCs/>
              </w:rPr>
              <w:t xml:space="preserve">Thành viên</w:t>
            </w:r>
          </w:p>
        </w:tc>
        <w:tc>
          <w:tcPr>
            <w:tcW w:type="dxa" w:w="2400"/>
            <w:shd w:fill="D9D9D9" w:val="clear"/>
            <w:tcMar>
              <w:top w:type="dxa" w:w="60"/>
              <w:left w:type="dxa" w:w="100"/>
              <w:bottom w:type="dxa" w:w="60"/>
              <w:right w:type="dxa" w:w="100"/>
            </w:tcMar>
            <w:vAlign w:val="center"/>
          </w:tcPr>
          <w:p>
            <w:pPr>
              <w:spacing w:after="40"/>
            </w:pPr>
            <w:r>
              <w:rPr>
                <w:b/>
                <w:bCs/>
              </w:rPr>
              <w:t xml:space="preserve">Nhiệm vụ chính</w:t>
            </w:r>
          </w:p>
        </w:tc>
        <w:tc>
          <w:tcPr>
            <w:tcW w:type="dxa" w:w="2400"/>
            <w:shd w:fill="D9D9D9" w:val="clear"/>
            <w:tcMar>
              <w:top w:type="dxa" w:w="60"/>
              <w:left w:type="dxa" w:w="100"/>
              <w:bottom w:type="dxa" w:w="60"/>
              <w:right w:type="dxa" w:w="100"/>
            </w:tcMar>
            <w:vAlign w:val="center"/>
          </w:tcPr>
          <w:p>
            <w:pPr>
              <w:spacing w:after="40"/>
            </w:pPr>
            <w:r>
              <w:rPr>
                <w:b/>
                <w:bCs/>
              </w:rPr>
              <w:t xml:space="preserve">Sản phẩm phụ trách</w:t>
            </w:r>
          </w:p>
        </w:tc>
        <w:tc>
          <w:tcPr>
            <w:tcW w:type="dxa" w:w="2026"/>
            <w:shd w:fill="D9D9D9" w:val="clear"/>
            <w:tcMar>
              <w:top w:type="dxa" w:w="60"/>
              <w:left w:type="dxa" w:w="100"/>
              <w:bottom w:type="dxa" w:w="60"/>
              <w:right w:type="dxa" w:w="100"/>
            </w:tcMar>
            <w:vAlign w:val="center"/>
          </w:tcPr>
          <w:p>
            <w:pPr>
              <w:spacing w:after="40"/>
            </w:pPr>
            <w:r>
              <w:rPr>
                <w:b/>
                <w:bCs/>
              </w:rPr>
              <w:t xml:space="preserve">Tỷ lệ đóng góp dự kiến</w:t>
            </w:r>
          </w:p>
        </w:tc>
      </w:tr>
      <w:tr>
        <w:tc>
          <w:tcPr>
            <w:tcW w:type="dxa" w:w="2200"/>
            <w:tcMar>
              <w:top w:type="dxa" w:w="60"/>
              <w:left w:type="dxa" w:w="100"/>
              <w:bottom w:type="dxa" w:w="60"/>
              <w:right w:type="dxa" w:w="100"/>
            </w:tcMar>
            <w:vAlign w:val="center"/>
          </w:tcPr>
          <w:p>
            <w:pPr>
              <w:spacing w:after="40"/>
            </w:pPr>
            <w:r>
              <w:t xml:space="preserve">[Cần điền]</w:t>
            </w:r>
          </w:p>
        </w:tc>
        <w:tc>
          <w:tcPr>
            <w:tcW w:type="dxa" w:w="2400"/>
            <w:tcMar>
              <w:top w:type="dxa" w:w="60"/>
              <w:left w:type="dxa" w:w="100"/>
              <w:bottom w:type="dxa" w:w="60"/>
              <w:right w:type="dxa" w:w="100"/>
            </w:tcMar>
            <w:vAlign w:val="center"/>
          </w:tcPr>
          <w:p>
            <w:pPr>
              <w:spacing w:after="40"/>
            </w:pPr>
            <w:r>
              <w:t xml:space="preserve">[Cần điền]</w:t>
            </w:r>
          </w:p>
        </w:tc>
        <w:tc>
          <w:tcPr>
            <w:tcW w:type="dxa" w:w="2400"/>
            <w:tcMar>
              <w:top w:type="dxa" w:w="60"/>
              <w:left w:type="dxa" w:w="100"/>
              <w:bottom w:type="dxa" w:w="60"/>
              <w:right w:type="dxa" w:w="100"/>
            </w:tcMar>
            <w:vAlign w:val="center"/>
          </w:tcPr>
          <w:p>
            <w:pPr>
              <w:spacing w:after="40"/>
            </w:pPr>
            <w:r>
              <w:t xml:space="preserve">[Cần điền]</w:t>
            </w:r>
          </w:p>
        </w:tc>
        <w:tc>
          <w:tcPr>
            <w:tcW w:type="dxa" w:w="2026"/>
            <w:tcMar>
              <w:top w:type="dxa" w:w="60"/>
              <w:left w:type="dxa" w:w="100"/>
              <w:bottom w:type="dxa" w:w="60"/>
              <w:right w:type="dxa" w:w="100"/>
            </w:tcMar>
            <w:vAlign w:val="center"/>
          </w:tcPr>
          <w:p>
            <w:pPr>
              <w:spacing w:after="40"/>
            </w:pPr>
            <w:r>
              <w:t xml:space="preserve">[Cần điền]</w:t>
            </w:r>
          </w:p>
        </w:tc>
      </w:tr>
      <w:tr>
        <w:tc>
          <w:tcPr>
            <w:tcW w:type="dxa" w:w="2200"/>
            <w:tcMar>
              <w:top w:type="dxa" w:w="60"/>
              <w:left w:type="dxa" w:w="100"/>
              <w:bottom w:type="dxa" w:w="60"/>
              <w:right w:type="dxa" w:w="100"/>
            </w:tcMar>
            <w:vAlign w:val="center"/>
          </w:tcPr>
          <w:p>
            <w:pPr>
              <w:spacing w:after="40"/>
            </w:pPr>
            <w:r>
              <w:t xml:space="preserve">[Cần điền]</w:t>
            </w:r>
          </w:p>
        </w:tc>
        <w:tc>
          <w:tcPr>
            <w:tcW w:type="dxa" w:w="2400"/>
            <w:tcMar>
              <w:top w:type="dxa" w:w="60"/>
              <w:left w:type="dxa" w:w="100"/>
              <w:bottom w:type="dxa" w:w="60"/>
              <w:right w:type="dxa" w:w="100"/>
            </w:tcMar>
            <w:vAlign w:val="center"/>
          </w:tcPr>
          <w:p>
            <w:pPr>
              <w:spacing w:after="40"/>
            </w:pPr>
            <w:r>
              <w:t xml:space="preserve">[Cần điền]</w:t>
            </w:r>
          </w:p>
        </w:tc>
        <w:tc>
          <w:tcPr>
            <w:tcW w:type="dxa" w:w="2400"/>
            <w:tcMar>
              <w:top w:type="dxa" w:w="60"/>
              <w:left w:type="dxa" w:w="100"/>
              <w:bottom w:type="dxa" w:w="60"/>
              <w:right w:type="dxa" w:w="100"/>
            </w:tcMar>
            <w:vAlign w:val="center"/>
          </w:tcPr>
          <w:p>
            <w:pPr>
              <w:spacing w:after="40"/>
            </w:pPr>
            <w:r>
              <w:t xml:space="preserve">[Cần điền]</w:t>
            </w:r>
          </w:p>
        </w:tc>
        <w:tc>
          <w:tcPr>
            <w:tcW w:type="dxa" w:w="2026"/>
            <w:tcMar>
              <w:top w:type="dxa" w:w="60"/>
              <w:left w:type="dxa" w:w="100"/>
              <w:bottom w:type="dxa" w:w="60"/>
              <w:right w:type="dxa" w:w="100"/>
            </w:tcMar>
            <w:vAlign w:val="center"/>
          </w:tcPr>
          <w:p>
            <w:pPr>
              <w:spacing w:after="40"/>
            </w:pPr>
            <w:r>
              <w:t xml:space="preserve">[Cần điền]</w:t>
            </w:r>
          </w:p>
        </w:tc>
      </w:tr>
      <w:tr>
        <w:tc>
          <w:tcPr>
            <w:tcW w:type="dxa" w:w="2200"/>
            <w:tcMar>
              <w:top w:type="dxa" w:w="60"/>
              <w:left w:type="dxa" w:w="100"/>
              <w:bottom w:type="dxa" w:w="60"/>
              <w:right w:type="dxa" w:w="100"/>
            </w:tcMar>
            <w:vAlign w:val="center"/>
          </w:tcPr>
          <w:p>
            <w:pPr>
              <w:spacing w:after="40"/>
            </w:pPr>
            <w:r>
              <w:t xml:space="preserve">[Cần điền]</w:t>
            </w:r>
          </w:p>
        </w:tc>
        <w:tc>
          <w:tcPr>
            <w:tcW w:type="dxa" w:w="2400"/>
            <w:tcMar>
              <w:top w:type="dxa" w:w="60"/>
              <w:left w:type="dxa" w:w="100"/>
              <w:bottom w:type="dxa" w:w="60"/>
              <w:right w:type="dxa" w:w="100"/>
            </w:tcMar>
            <w:vAlign w:val="center"/>
          </w:tcPr>
          <w:p>
            <w:pPr>
              <w:spacing w:after="40"/>
            </w:pPr>
            <w:r>
              <w:t xml:space="preserve">[Cần điền]</w:t>
            </w:r>
          </w:p>
        </w:tc>
        <w:tc>
          <w:tcPr>
            <w:tcW w:type="dxa" w:w="2400"/>
            <w:tcMar>
              <w:top w:type="dxa" w:w="60"/>
              <w:left w:type="dxa" w:w="100"/>
              <w:bottom w:type="dxa" w:w="60"/>
              <w:right w:type="dxa" w:w="100"/>
            </w:tcMar>
            <w:vAlign w:val="center"/>
          </w:tcPr>
          <w:p>
            <w:pPr>
              <w:spacing w:after="40"/>
            </w:pPr>
            <w:r>
              <w:t xml:space="preserve">[Cần điền]</w:t>
            </w:r>
          </w:p>
        </w:tc>
        <w:tc>
          <w:tcPr>
            <w:tcW w:type="dxa" w:w="2026"/>
            <w:tcMar>
              <w:top w:type="dxa" w:w="60"/>
              <w:left w:type="dxa" w:w="100"/>
              <w:bottom w:type="dxa" w:w="60"/>
              <w:right w:type="dxa" w:w="100"/>
            </w:tcMar>
            <w:vAlign w:val="center"/>
          </w:tcPr>
          <w:p>
            <w:pPr>
              <w:spacing w:after="40"/>
            </w:pPr>
            <w:r>
              <w:t xml:space="preserve">[Cần điền]</w:t>
            </w:r>
          </w:p>
        </w:tc>
      </w:tr>
    </w:tbl>
    <w:p>
      <w:pPr>
        <w:pStyle w:val="Heading2"/>
        <w:spacing w:after="120" w:before="250"/>
      </w:pPr>
      <w:r>
        <w:t xml:space="preserve">Mục 12. Rủi ro và phương án dự phòng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026"/>
      </w:tblGrid>
      <w:tr>
        <w:tc>
          <w:tcPr>
            <w:tcW w:type="dxa" w:w="2600"/>
            <w:shd w:fill="D9D9D9" w:val="clear"/>
            <w:tcMar>
              <w:top w:type="dxa" w:w="60"/>
              <w:left w:type="dxa" w:w="100"/>
              <w:bottom w:type="dxa" w:w="60"/>
              <w:right w:type="dxa" w:w="100"/>
            </w:tcMar>
            <w:vAlign w:val="center"/>
          </w:tcPr>
          <w:p>
            <w:pPr>
              <w:spacing w:after="40"/>
            </w:pPr>
            <w:r>
              <w:rPr>
                <w:b/>
                <w:bCs/>
              </w:rPr>
              <w:t xml:space="preserve">Rủi ro</w:t>
            </w:r>
          </w:p>
        </w:tc>
        <w:tc>
          <w:tcPr>
            <w:tcW w:type="dxa" w:w="1700"/>
            <w:shd w:fill="D9D9D9" w:val="clear"/>
            <w:tcMar>
              <w:top w:type="dxa" w:w="60"/>
              <w:left w:type="dxa" w:w="100"/>
              <w:bottom w:type="dxa" w:w="60"/>
              <w:right w:type="dxa" w:w="100"/>
            </w:tcMar>
            <w:vAlign w:val="center"/>
          </w:tcPr>
          <w:p>
            <w:pPr>
              <w:spacing w:after="40"/>
            </w:pPr>
            <w:r>
              <w:rPr>
                <w:b/>
                <w:bCs/>
              </w:rPr>
              <w:t xml:space="preserve">Mức ảnh hưởng</w:t>
            </w:r>
          </w:p>
        </w:tc>
        <w:tc>
          <w:tcPr>
            <w:tcW w:type="dxa" w:w="1700"/>
            <w:shd w:fill="D9D9D9" w:val="clear"/>
            <w:tcMar>
              <w:top w:type="dxa" w:w="60"/>
              <w:left w:type="dxa" w:w="100"/>
              <w:bottom w:type="dxa" w:w="60"/>
              <w:right w:type="dxa" w:w="100"/>
            </w:tcMar>
            <w:vAlign w:val="center"/>
          </w:tcPr>
          <w:p>
            <w:pPr>
              <w:spacing w:after="40"/>
            </w:pPr>
            <w:r>
              <w:rPr>
                <w:b/>
                <w:bCs/>
              </w:rPr>
              <w:t xml:space="preserve">Khả năng xảy ra</w:t>
            </w:r>
          </w:p>
        </w:tc>
        <w:tc>
          <w:tcPr>
            <w:tcW w:type="dxa" w:w="3026"/>
            <w:shd w:fill="D9D9D9" w:val="clear"/>
            <w:tcMar>
              <w:top w:type="dxa" w:w="60"/>
              <w:left w:type="dxa" w:w="100"/>
              <w:bottom w:type="dxa" w:w="60"/>
              <w:right w:type="dxa" w:w="100"/>
            </w:tcMar>
            <w:vAlign w:val="center"/>
          </w:tcPr>
          <w:p>
            <w:pPr>
              <w:spacing w:after="40"/>
            </w:pPr>
            <w:r>
              <w:rPr>
                <w:b/>
                <w:bCs/>
              </w:rPr>
              <w:t xml:space="preserve">Biện pháp xử lý</w:t>
            </w:r>
          </w:p>
        </w:tc>
      </w:tr>
      <w:tr>
        <w:tc>
          <w:tcPr>
            <w:tcW w:type="dxa" w:w="2600"/>
            <w:tcMar>
              <w:top w:type="dxa" w:w="60"/>
              <w:left w:type="dxa" w:w="100"/>
              <w:bottom w:type="dxa" w:w="60"/>
              <w:right w:type="dxa" w:w="100"/>
            </w:tcMar>
            <w:vAlign w:val="center"/>
          </w:tcPr>
          <w:p>
            <w:pPr>
              <w:spacing w:after="40"/>
            </w:pPr>
            <w:r>
              <w:t xml:space="preserve">Dữ liệu M5 đầy đủ quá lớn (42.840 chuỗi) vượt tài nguyên tính toán của nhóm</w:t>
            </w:r>
          </w:p>
        </w:tc>
        <w:tc>
          <w:tcPr>
            <w:tcW w:type="dxa" w:w="1700"/>
            <w:tcMar>
              <w:top w:type="dxa" w:w="60"/>
              <w:left w:type="dxa" w:w="100"/>
              <w:bottom w:type="dxa" w:w="60"/>
              <w:right w:type="dxa" w:w="100"/>
            </w:tcMar>
            <w:vAlign w:val="center"/>
          </w:tcPr>
          <w:p>
            <w:pPr>
              <w:spacing w:after="40"/>
            </w:pPr>
            <w:r>
              <w:t xml:space="preserve">Cao</w:t>
            </w:r>
          </w:p>
        </w:tc>
        <w:tc>
          <w:tcPr>
            <w:tcW w:type="dxa" w:w="1700"/>
            <w:tcMar>
              <w:top w:type="dxa" w:w="60"/>
              <w:left w:type="dxa" w:w="100"/>
              <w:bottom w:type="dxa" w:w="60"/>
              <w:right w:type="dxa" w:w="100"/>
            </w:tcMar>
            <w:vAlign w:val="center"/>
          </w:tcPr>
          <w:p>
            <w:pPr>
              <w:spacing w:after="40"/>
            </w:pPr>
            <w:r>
              <w:t xml:space="preserve">Trung bình</w:t>
            </w:r>
          </w:p>
        </w:tc>
        <w:tc>
          <w:tcPr>
            <w:tcW w:type="dxa" w:w="3026"/>
            <w:tcMar>
              <w:top w:type="dxa" w:w="60"/>
              <w:left w:type="dxa" w:w="100"/>
              <w:bottom w:type="dxa" w:w="60"/>
              <w:right w:type="dxa" w:w="100"/>
            </w:tcMar>
            <w:vAlign w:val="center"/>
          </w:tcPr>
          <w:p>
            <w:pPr>
              <w:spacing w:after="40"/>
            </w:pPr>
            <w:r>
              <w:t xml:space="preserve">Lấy mẫu con theo store/category (vd 2–3 cửa hàng, đủ 3 category) đại diện, vẫn giữ được cấu trúc phân cấp cần thiết.</w:t>
            </w:r>
          </w:p>
        </w:tc>
      </w:tr>
      <w:tr>
        <w:tc>
          <w:tcPr>
            <w:tcW w:type="dxa" w:w="2600"/>
            <w:tcMar>
              <w:top w:type="dxa" w:w="60"/>
              <w:left w:type="dxa" w:w="100"/>
              <w:bottom w:type="dxa" w:w="60"/>
              <w:right w:type="dxa" w:w="100"/>
            </w:tcMar>
            <w:vAlign w:val="center"/>
          </w:tcPr>
          <w:p>
            <w:pPr>
              <w:spacing w:after="40"/>
            </w:pPr>
            <w:r>
              <w:t xml:space="preserve">Sparsity cao (68% giá trị 0) khiến mô hình dự báo lệch về 0, RMSE thấp giả tạo</w:t>
            </w:r>
          </w:p>
        </w:tc>
        <w:tc>
          <w:tcPr>
            <w:tcW w:type="dxa" w:w="1700"/>
            <w:tcMar>
              <w:top w:type="dxa" w:w="60"/>
              <w:left w:type="dxa" w:w="100"/>
              <w:bottom w:type="dxa" w:w="60"/>
              <w:right w:type="dxa" w:w="100"/>
            </w:tcMar>
            <w:vAlign w:val="center"/>
          </w:tcPr>
          <w:p>
            <w:pPr>
              <w:spacing w:after="40"/>
            </w:pPr>
            <w:r>
              <w:t xml:space="preserve">Cao</w:t>
            </w:r>
          </w:p>
        </w:tc>
        <w:tc>
          <w:tcPr>
            <w:tcW w:type="dxa" w:w="1700"/>
            <w:tcMar>
              <w:top w:type="dxa" w:w="60"/>
              <w:left w:type="dxa" w:w="100"/>
              <w:bottom w:type="dxa" w:w="60"/>
              <w:right w:type="dxa" w:w="100"/>
            </w:tcMar>
            <w:vAlign w:val="center"/>
          </w:tcPr>
          <w:p>
            <w:pPr>
              <w:spacing w:after="40"/>
            </w:pPr>
            <w:r>
              <w:t xml:space="preserve">Cao</w:t>
            </w:r>
          </w:p>
        </w:tc>
        <w:tc>
          <w:tcPr>
            <w:tcW w:type="dxa" w:w="3026"/>
            <w:tcMar>
              <w:top w:type="dxa" w:w="60"/>
              <w:left w:type="dxa" w:w="100"/>
              <w:bottom w:type="dxa" w:w="60"/>
              <w:right w:type="dxa" w:w="100"/>
            </w:tcMar>
            <w:vAlign w:val="center"/>
          </w:tcPr>
          <w:p>
            <w:pPr>
              <w:spacing w:after="40"/>
            </w:pPr>
            <w:r>
              <w:t xml:space="preserve">Dùng hàm mục tiêu Tweedie/Poisson thay MSE; đánh giá bổ sung bằng RMSSE (đã chuẩn hoá theo biến động của chuỗi) thay vì chỉ MSE thô.</w:t>
            </w:r>
          </w:p>
        </w:tc>
      </w:tr>
      <w:tr>
        <w:tc>
          <w:tcPr>
            <w:tcW w:type="dxa" w:w="2600"/>
            <w:tcMar>
              <w:top w:type="dxa" w:w="60"/>
              <w:left w:type="dxa" w:w="100"/>
              <w:bottom w:type="dxa" w:w="60"/>
              <w:right w:type="dxa" w:w="100"/>
            </w:tcMar>
            <w:vAlign w:val="center"/>
          </w:tcPr>
          <w:p>
            <w:pPr>
              <w:spacing w:after="40"/>
            </w:pPr>
            <w:r>
              <w:t xml:space="preserve">Thành viên nhóm nghỉ hoặc chậm tiến độ giữa chừng</w:t>
            </w:r>
          </w:p>
        </w:tc>
        <w:tc>
          <w:tcPr>
            <w:tcW w:type="dxa" w:w="1700"/>
            <w:tcMar>
              <w:top w:type="dxa" w:w="60"/>
              <w:left w:type="dxa" w:w="100"/>
              <w:bottom w:type="dxa" w:w="60"/>
              <w:right w:type="dxa" w:w="100"/>
            </w:tcMar>
            <w:vAlign w:val="center"/>
          </w:tcPr>
          <w:p>
            <w:pPr>
              <w:spacing w:after="40"/>
            </w:pPr>
            <w:r>
              <w:t xml:space="preserve">Trung bình</w:t>
            </w:r>
          </w:p>
        </w:tc>
        <w:tc>
          <w:tcPr>
            <w:tcW w:type="dxa" w:w="1700"/>
            <w:tcMar>
              <w:top w:type="dxa" w:w="60"/>
              <w:left w:type="dxa" w:w="100"/>
              <w:bottom w:type="dxa" w:w="60"/>
              <w:right w:type="dxa" w:w="100"/>
            </w:tcMar>
            <w:vAlign w:val="center"/>
          </w:tcPr>
          <w:p>
            <w:pPr>
              <w:spacing w:after="40"/>
            </w:pPr>
            <w:r>
              <w:t xml:space="preserve">Thấp</w:t>
            </w:r>
          </w:p>
        </w:tc>
        <w:tc>
          <w:tcPr>
            <w:tcW w:type="dxa" w:w="3026"/>
            <w:tcMar>
              <w:top w:type="dxa" w:w="60"/>
              <w:left w:type="dxa" w:w="100"/>
              <w:bottom w:type="dxa" w:w="60"/>
              <w:right w:type="dxa" w:w="100"/>
            </w:tcMar>
            <w:vAlign w:val="center"/>
          </w:tcPr>
          <w:p>
            <w:pPr>
              <w:spacing w:after="40"/>
            </w:pPr>
            <w:r>
              <w:t xml:space="preserve">Phân công có người dự phòng (backup) cho mỗi mảng công việc chính; họp tiến độ hằng tuần để phát hiện sớm.</w:t>
            </w:r>
          </w:p>
        </w:tc>
      </w:tr>
    </w:tbl>
    <w:p>
      <w:pPr>
        <w:pStyle w:val="Heading2"/>
        <w:spacing w:after="120" w:before="250"/>
      </w:pPr>
      <w:r>
        <w:t xml:space="preserve">Mục 13. Tài liệu tham khảo</w:t>
      </w:r>
    </w:p>
    <w:p>
      <w:pPr>
        <w:spacing w:after="120"/>
        <w:jc w:val="left"/>
      </w:pPr>
      <w:r>
        <w:t xml:space="preserve">[1] S. Makridakis, E. Spiliotis, and V. Assimakopoulos, "The M5 competition: Background, organization, and implementation," International Journal of Forecasting, vol. 38, no. 4, pp. 1325–1336, 2022.</w:t>
      </w:r>
    </w:p>
    <w:p>
      <w:pPr>
        <w:spacing w:after="120"/>
        <w:jc w:val="left"/>
      </w:pPr>
      <w:r>
        <w:t xml:space="preserve">[2] R. Hobor et al., "A comparative analysis of tree-based and deep learning models for retail sales forecasting," 2025.</w:t>
      </w:r>
    </w:p>
    <w:p>
      <w:pPr>
        <w:spacing w:after="120"/>
        <w:jc w:val="left"/>
      </w:pPr>
      <w:r>
        <w:t xml:space="preserve">[3] G. Ke et al., "LightGBM: A highly efficient gradient boosting decision tree," in Advances in Neural Information Processing Systems, vol. 30, 2017.</w:t>
      </w:r>
    </w:p>
    <w:p>
      <w:pPr>
        <w:spacing w:after="120"/>
        <w:jc w:val="left"/>
      </w:pPr>
      <w:r>
        <w:t xml:space="preserve">[4] T. Chen and C. Guestrin, "XGBoost: A scalable tree boosting system," in Proc. 22nd ACM SIGKDD Int. Conf. Knowledge Discovery and Data Mining, 2016, pp. 785–794.</w:t>
      </w:r>
    </w:p>
    <w:p>
      <w:pPr>
        <w:spacing w:after="120"/>
        <w:jc w:val="left"/>
      </w:pPr>
      <w:r>
        <w:t xml:space="preserve">[5] Y. Lv, X. Han, and X. Hu, "Clothing sales forecast considering weather information," 2023.</w:t>
      </w:r>
    </w:p>
    <w:p>
      <w:pPr>
        <w:spacing w:after="120"/>
        <w:jc w:val="left"/>
      </w:pPr>
      <w:r>
        <w:t xml:space="preserve">[6] Walmart / M5 Forecasting Dataset, Kaggle, https://www.kaggle.com/competitions/m5-forecasting-accuracy (truy cập [cần điền ngày])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2026-09-22T17:43:40.382Z</dcterms:created>
  <dcterms:modified xsi:type="dcterms:W3CDTF">2026-09-22T17:43:40.390Z</dcterms:modified>
</cp:coreProperties>
</file>

<file path=docProps/custom.xml><?xml version="1.0" encoding="utf-8"?>
<Properties xmlns="http://schemas.openxmlformats.org/officeDocument/2006/custom-properties" xmlns:vt="http://schemas.openxmlformats.org/officeDocument/2006/docPropsVTypes"/>
</file>