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69D00">
      <w:pPr>
        <w:rPr>
          <w:rFonts w:hint="default"/>
          <w:lang w:val="en-US"/>
        </w:rPr>
      </w:pPr>
      <w:r>
        <w:rPr>
          <w:rFonts w:hint="default"/>
          <w:lang w:val="en-US"/>
        </w:rPr>
        <w:t>Kesimpulan Bab Ini:</w:t>
      </w:r>
    </w:p>
    <w:p w14:paraId="2F0ABB7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Nabi membangun kehidupan manusia/masyarakat dengan (memulai) pondasi iman.</w:t>
      </w:r>
    </w:p>
    <w:p w14:paraId="7E4AEDEA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Surah An Nahl ayat 53.</w:t>
      </w:r>
    </w:p>
    <w:p w14:paraId="3BBC9C2B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7935FAAA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Yang demikian itu ditangkap oleh bangsa kita, tertulis dalam UU </w:t>
      </w:r>
    </w:p>
    <w:p w14:paraId="17DE864D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11114979">
      <w:pPr>
        <w:numPr>
          <w:ilvl w:val="0"/>
          <w:numId w:val="0"/>
        </w:numPr>
        <w:ind w:left="200" w:leftChars="100" w:firstLine="0" w:firstLineChars="0"/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27"/>
          <w:szCs w:val="27"/>
          <w:shd w:val="clear" w:fill="222728"/>
        </w:rPr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t>UU yang menjadi dasar realisasi pendidikan untuk menumbuhkan keimanan, ketakwaan, dan akhlak mulia adalah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instrText xml:space="preserve"> HYPERLINK "https://www.google.com/search?cs=1&amp;sca_esv=3b56db0f431ba40b&amp;q=Undang-Undang+Nomor+20+Tahun+2003+tentang+Sistem+Pendidikan+Nasional&amp;sa=X&amp;ved=2ahUKEwjavdLP28ePAxWLS2wGHW7OGJcQxccNegQIAhAB&amp;mstk=AUtExfBUSRgU1X7UcPWZtVk-LSAOewCUWJp25IRHGBPvAIdlnVnHGhauNsBEBDZSR_t0Qrt8vjHE4fFMEuZwZ8_qoay6T3PNvGCEKHMhlEZnhvtwel37gxMTp_6Thtcrs1-35bo&amp;csui=3" \t "https://www.google.com/_blank"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t>Undang-Undang Nomor 20 Tahun 2003 tentang Sistem Pendidikan Nasional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2"/>
          <w:szCs w:val="22"/>
          <w:shd w:val="clear" w:fill="222728"/>
        </w:rPr>
        <w:t> (UU Sisdiknas). Pasal 3 UU tersebut mengamanatkan Pemerintah untuk menyelenggarakan sistem pendidikan nasional yang meningkatkan keimanan dan ketakwaan serta akhlak mulia dalam rangka mencerdaskan kehidupan bangsa, sejalan dengan UUD 1945. </w:t>
      </w:r>
    </w:p>
    <w:p w14:paraId="41455287">
      <w:pPr>
        <w:numPr>
          <w:ilvl w:val="0"/>
          <w:numId w:val="0"/>
        </w:numPr>
        <w:ind w:left="200" w:leftChars="100" w:firstLine="0" w:firstLineChars="0"/>
        <w:rPr>
          <w:rFonts w:hint="default" w:ascii="Arial" w:hAnsi="Arial" w:eastAsia="Arial" w:cs="Arial"/>
          <w:i w:val="0"/>
          <w:iCs w:val="0"/>
          <w:caps w:val="0"/>
          <w:color w:val="EEF0FF"/>
          <w:spacing w:val="0"/>
          <w:sz w:val="27"/>
          <w:szCs w:val="27"/>
          <w:shd w:val="clear" w:fill="222728"/>
          <w:lang w:val="en-US"/>
        </w:rPr>
      </w:pPr>
    </w:p>
    <w:p w14:paraId="445BA083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Kehidupan yang baik berasal dari iman yang baik.</w:t>
      </w:r>
    </w:p>
    <w:p w14:paraId="028E8428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6EAEC27E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…, “(Bangun pondasi iman agar bangunan tidak rapuh)”.</w:t>
      </w:r>
    </w:p>
    <w:p w14:paraId="7A1DF2AA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75B35AE4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Kehidupan dibangun atas pendidikan. Dan pendidikan yang solid/yang bagus, dibangun atas iman yang baik.</w:t>
      </w:r>
    </w:p>
    <w:p w14:paraId="5A967FD1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1FEE3E08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Jiwa itu kuat dengan iman, tubuh akan keteteran.</w:t>
      </w:r>
    </w:p>
    <w:p w14:paraId="50AA6901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101EFCB8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Kalau jiwa itu lemah, tubuh tidak akan bergerak.</w:t>
      </w:r>
    </w:p>
    <w:p w14:paraId="007DE75F">
      <w:pPr>
        <w:numPr>
          <w:ilvl w:val="0"/>
          <w:numId w:val="0"/>
        </w:numPr>
        <w:ind w:left="200" w:leftChars="100" w:firstLine="0" w:firstLineChars="0"/>
        <w:rPr>
          <w:rFonts w:hint="default"/>
          <w:lang w:val="en-US"/>
        </w:rPr>
      </w:pPr>
    </w:p>
    <w:p w14:paraId="70B03F9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Menghukumi seseorag secara zhahir dan menyerahkan hal-hal terkait batin kepada Allah. Konsep ini merupakan konsep yang diinginkan Allah untuk memudahkan kita, bukan memperberat.</w:t>
      </w:r>
    </w:p>
    <w:p w14:paraId="0C1FB6F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E08117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Agama ini mudah.</w:t>
      </w:r>
    </w:p>
    <w:p w14:paraId="6AA37B3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D3AD75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Namun semudah apapun, kalau kita tidak dimudah oleh Allah, kita tidak akan berhasil.</w:t>
      </w:r>
    </w:p>
    <w:p w14:paraId="5CCBB00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AB3D87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Dalam bab ini ada konsep tawakal (menyerahkan isi batin seseorang).</w:t>
      </w:r>
    </w:p>
    <w:p w14:paraId="19C97D3C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22055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Disitu terdapat unsur ketaatan.</w:t>
      </w:r>
    </w:p>
    <w:p w14:paraId="35A8573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C8B097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Sudah Ath Thalaq ayat 3.</w:t>
      </w:r>
    </w:p>
    <w:p w14:paraId="757947E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D8592C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Artinya, seseorang yang menyerahkan isi batin seseorang itu pada akhirnya akan ditolong oleh Allah karena Allah sudah menyampaikan bahwa orang yang bertawakal maka Allah akan cukupi.</w:t>
      </w:r>
    </w:p>
    <w:p w14:paraId="3A83E528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2EF949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Kita berdo’a kepada Allah dari orang yang bermuka dua, kita berdo’a kepada Allah dari orang yang … terhadap kita.</w:t>
      </w:r>
    </w:p>
    <w:p w14:paraId="70B543C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9AB6CF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Surah Muhammad ayat … . (Instan shurullaha yan shurkum wa yutsabbit aqdamakum).</w:t>
      </w:r>
    </w:p>
    <w:p w14:paraId="3BFA55B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BF2F18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Kita dituntut untuk tawakal atas isi hati seseorang, namun kita juga harus jeli dalam membaca kejanggalan dalam keanehan sikap seseorang untuk berhati-hati terhadap isi hati seseorang.</w:t>
      </w:r>
    </w:p>
    <w:p w14:paraId="5EF4E67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19B2B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Surah Muhammad ayat 30.</w:t>
      </w:r>
    </w:p>
    <w:p w14:paraId="507F57D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B833DF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Pentingnya muhasabah/introspeksi diri. Hal yang tidak bisa dipusahkan dari orang yang baik. Orang yang bertaqwa.</w:t>
      </w:r>
    </w:p>
    <w:p w14:paraId="605EC833">
      <w:pPr>
        <w:numPr>
          <w:numId w:val="0"/>
        </w:numPr>
        <w:ind w:leftChars="0"/>
        <w:rPr>
          <w:rFonts w:hint="default"/>
          <w:lang w:val="en-US"/>
        </w:rPr>
      </w:pPr>
    </w:p>
    <w:p w14:paraId="1DE4FBC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Maimun bin Mihram, “Seseorang tidak akan bisa menjadi orang yang bertaqwa sampai ia lebih ketat dalam mengevaluasi dirinya daripada mengevaluasi partner bisnisnya”.</w:t>
      </w:r>
    </w:p>
    <w:p w14:paraId="02D367F3">
      <w:pPr>
        <w:numPr>
          <w:numId w:val="0"/>
        </w:numPr>
        <w:ind w:leftChars="0"/>
        <w:rPr>
          <w:rFonts w:hint="default"/>
          <w:lang w:val="en-US"/>
        </w:rPr>
      </w:pPr>
    </w:p>
    <w:p w14:paraId="2072DF1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Ketat</w:t>
      </w:r>
      <w:r>
        <w:rPr>
          <w:rFonts w:hint="default"/>
          <w:lang w:val="en-US"/>
        </w:rPr>
        <w:t xml:space="preserve"> mengevaluasi diri.</w:t>
      </w:r>
    </w:p>
    <w:p w14:paraId="36FCFB43">
      <w:pPr>
        <w:numPr>
          <w:numId w:val="0"/>
        </w:numPr>
        <w:ind w:leftChars="0"/>
        <w:rPr>
          <w:rFonts w:hint="default"/>
          <w:lang w:val="en-US"/>
        </w:rPr>
      </w:pPr>
    </w:p>
    <w:p w14:paraId="40BA571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Keterangan Para Ulama,</w:t>
      </w:r>
    </w:p>
    <w:p w14:paraId="7BB35F2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Lebih ketat dari parner bisnis yang zhalim,</w:t>
      </w:r>
    </w:p>
    <w:p w14:paraId="0290B40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atau lebih ketat dari partner bisnis yang pelit.</w:t>
      </w:r>
    </w:p>
    <w:p w14:paraId="65532680">
      <w:pPr>
        <w:numPr>
          <w:numId w:val="0"/>
        </w:numPr>
        <w:ind w:leftChars="0"/>
        <w:rPr>
          <w:rFonts w:hint="default"/>
          <w:lang w:val="en-US"/>
        </w:rPr>
      </w:pPr>
    </w:p>
    <w:p w14:paraId="425EEB7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Mereka biasanya sangat ketat dalam mengevaluasi. Kita harus lebih ketat lagi dari mereka dalam mengevaluasi diri kita sendiri.</w:t>
      </w:r>
    </w:p>
    <w:p w14:paraId="3B962012">
      <w:pPr>
        <w:numPr>
          <w:numId w:val="0"/>
        </w:numPr>
        <w:ind w:leftChars="0"/>
        <w:rPr>
          <w:rFonts w:hint="default"/>
          <w:lang w:val="en-US"/>
        </w:rPr>
      </w:pPr>
    </w:p>
    <w:p w14:paraId="2863865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Kalau tida, kita bisa tanpa sadar keluar dari Shirathal Mustaqim.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2F896"/>
    <w:multiLevelType w:val="singleLevel"/>
    <w:tmpl w:val="B802F8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D24C2"/>
    <w:rsid w:val="178D24C2"/>
    <w:rsid w:val="48AB531A"/>
    <w:rsid w:val="51351A1A"/>
    <w:rsid w:val="6D8A77EF"/>
    <w:rsid w:val="76C5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2025-09-07T22:35:00Z</dcterms:created>
  <dc:creator>Zabuku</dc:creator>
  <cp:lastModifiedBy>Zabuku</cp:lastModifiedBy>
  <dcterms:modified xsi:type="dcterms:W3CDTF">2025-09-11T22:40:59Z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A44C5AEA7DF648D08ADC3B522F17E0FA_11</vt:lpwstr>
  </property>
</Properties>
</file>