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60"/>
      </w:pPr>
      <w:r>
        <w:rPr>
          <w:rFonts w:ascii="Calibri" w:hAnsi="Calibri"/>
          <w:b/>
          <w:i w:val="0"/>
          <w:color w:val="1E6091"/>
          <w:sz w:val="18"/>
        </w:rPr>
        <w:t>ARGO ANALYTICS</w:t>
      </w:r>
      <w:r>
        <w:rPr>
          <w:rFonts w:ascii="Calibri" w:hAnsi="Calibri"/>
          <w:b/>
          <w:i w:val="0"/>
          <w:color w:val="595959"/>
          <w:sz w:val="18"/>
        </w:rPr>
        <w:t xml:space="preserve">  ·  PROPOSAL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44"/>
        </w:rPr>
        <w:t>Lee Enterprises</w:t>
      </w:r>
    </w:p>
    <w:p>
      <w:pPr>
        <w:spacing w:after="560"/>
      </w:pPr>
      <w:r>
        <w:rPr>
          <w:rFonts w:ascii="Calibri" w:hAnsi="Calibri"/>
          <w:b w:val="0"/>
          <w:i w:val="0"/>
          <w:color w:val="595959"/>
          <w:sz w:val="32"/>
        </w:rPr>
        <w:t>Conversational AI &amp; Canonical Data Platform</w:t>
      </w:r>
    </w:p>
    <w:p>
      <w:pPr>
        <w:spacing w:after="260"/>
        <w:pBdr>
          <w:bottom w:val="single" w:sz="8" w:space="1" w:color="8AA4BF"/>
        </w:pBdr>
      </w:pPr>
      <w:r>
        <w:rPr>
          <w:rFonts w:ascii="Calibri" w:hAnsi="Calibri"/>
          <w:b w:val="0"/>
          <w:i w:val="0"/>
          <w:color w:val="595959"/>
          <w:sz w:val="20"/>
        </w:rPr>
        <w:t xml:space="preserve">Prepared by </w:t>
      </w:r>
      <w:r>
        <w:rPr>
          <w:rFonts w:ascii="Calibri" w:hAnsi="Calibri"/>
          <w:b/>
          <w:i w:val="0"/>
          <w:color w:val="595959"/>
          <w:sz w:val="20"/>
        </w:rPr>
        <w:t>Argo Analytics</w:t>
      </w:r>
      <w:r>
        <w:rPr>
          <w:rFonts w:ascii="Calibri" w:hAnsi="Calibri"/>
          <w:b w:val="0"/>
          <w:i w:val="0"/>
          <w:color w:val="595959"/>
          <w:sz w:val="20"/>
        </w:rPr>
        <w:t xml:space="preserve">    ·    Version 1    ·    May 2026</w:t>
      </w:r>
    </w:p>
    <w:p>
      <w:pPr>
        <w:pStyle w:val="Heading1"/>
        <w:spacing w:before="260" w:after="140"/>
      </w:pPr>
      <w:r>
        <w:rPr>
          <w:rFonts w:ascii="Calibri" w:hAnsi="Calibri"/>
          <w:b/>
          <w:i w:val="0"/>
          <w:color w:val="0B2545"/>
          <w:sz w:val="32"/>
        </w:rPr>
        <w:t>Executive Summary</w:t>
      </w:r>
    </w:p>
    <w:p>
      <w:pPr>
        <w:spacing w:before="0" w:after="20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Lee has the right cloud foundation in place — BigQuery, MWAA/Airflow, dbt, and BI tooling through Looker and Domo — but the layers that turn raw data into governed, reusable assets are still emerging. There is no established medallion pattern, no canonical semantic model, and no governed path for AI-assisted analytics. This proposal establishes that framework, using subscription rates as the initial dataset to prove the pattern end-to-end.</w:t>
      </w:r>
    </w:p>
    <w:p>
      <w:pPr>
        <w:spacing w:before="0" w:after="20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This proposal lays out a phased program that turns Lee's existing BigQuery and dbt investment into a canonical, AI-ready data foundation. Phase 1 establishes a reusable subscription rates model and a governed conversational interface on top of it. Subsequent acquisitions onboard against that model instead of rebuilding from scratch.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Three outcomes drive the work: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Foundational pattern.  </w:t>
      </w:r>
      <w:r>
        <w:rPr>
          <w:rFonts w:ascii="Calibri" w:hAnsi="Calibri"/>
          <w:b w:val="0"/>
          <w:i w:val="0"/>
          <w:color w:val="000000"/>
          <w:sz w:val="22"/>
        </w:rPr>
        <w:t>Establish the medallion architecture, canonical modeling approach, and governance pattern that all future domains and acquisitions will follow.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Analyst leverage.  </w:t>
      </w:r>
      <w:r>
        <w:rPr>
          <w:rFonts w:ascii="Calibri" w:hAnsi="Calibri"/>
          <w:b w:val="0"/>
          <w:i w:val="0"/>
          <w:color w:val="000000"/>
          <w:sz w:val="22"/>
        </w:rPr>
        <w:t>Move routine subscription rates questions from "ticket the BI team" to natural-language self-serve, backed by governed SQL execution against trusted models.</w:t>
      </w:r>
    </w:p>
    <w:p>
      <w:pPr>
        <w:spacing w:after="32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Acquisition leverage.  </w:t>
      </w:r>
      <w:r>
        <w:rPr>
          <w:rFonts w:ascii="Calibri" w:hAnsi="Calibri"/>
          <w:b w:val="0"/>
          <w:i w:val="0"/>
          <w:color w:val="000000"/>
          <w:sz w:val="22"/>
        </w:rPr>
        <w:t>Position Lee to onboard the next acquisition against a canonical model rather than rebuilding pipelines and KPIs from scratch.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75"/>
      </w:tblGrid>
      <w:tr>
        <w:tc>
          <w:tcPr>
            <w:tcW w:type="dxa" w:w="9475"/>
            <w:shd w:fill="EAF3FB"/>
            <w:tcBorders>
              <w:top w:sz="8" w:val="single" w:color="8BBAD9"/>
              <w:left w:sz="8" w:val="single" w:color="8BBAD9"/>
              <w:bottom w:sz="8" w:val="single" w:color="8BBAD9"/>
              <w:right w:sz="8" w:val="single" w:color="8BBAD9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Phase 1 delivers a governed conversational AI experience over a canonical subscription rates model — proving the pattern on a high-value dataset before scaling. Phases 2 and 3 are directional; they activate only after Phase 1 validates adoption and ROI.</w:t>
            </w:r>
          </w:p>
        </w:tc>
      </w:tr>
    </w:tbl>
    <w:p>
      <w:r>
        <w:br w:type="page"/>
      </w:r>
    </w:p>
    <w:p>
      <w:pPr>
        <w:pStyle w:val="Heading1"/>
        <w:spacing w:before="0" w:after="260"/>
      </w:pPr>
      <w:r>
        <w:rPr>
          <w:rFonts w:ascii="Calibri" w:hAnsi="Calibri"/>
          <w:b/>
          <w:i w:val="0"/>
          <w:color w:val="0B2545"/>
          <w:sz w:val="32"/>
        </w:rPr>
        <w:t>Strategic Context</w:t>
      </w:r>
    </w:p>
    <w:p>
      <w:pPr>
        <w:pStyle w:val="Heading3"/>
        <w:spacing w:before="0" w:after="200"/>
      </w:pPr>
      <w:r>
        <w:rPr>
          <w:rFonts w:ascii="Calibri" w:hAnsi="Calibri"/>
          <w:b/>
          <w:i w:val="0"/>
          <w:color w:val="0B2545"/>
          <w:sz w:val="22"/>
        </w:rPr>
        <w:t>What this proposal establishes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This proposal establishes four reusable patterns:</w:t>
      </w:r>
    </w:p>
    <w:p>
      <w:pPr>
        <w:spacing w:after="8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/>
          <w:i w:val="0"/>
          <w:color w:val="000000"/>
          <w:sz w:val="22"/>
        </w:rPr>
        <w:t xml:space="preserve">Medallion layering in BigQuery. </w:t>
      </w:r>
      <w:r>
        <w:rPr>
          <w:rFonts w:ascii="Calibri" w:hAnsi="Calibri"/>
          <w:b w:val="0"/>
          <w:i w:val="0"/>
          <w:color w:val="000000"/>
          <w:sz w:val="22"/>
        </w:rPr>
        <w:t>Raw → staging → intermediate → mart → AI-semantic, with consistent conventions across domains.</w:t>
      </w:r>
    </w:p>
    <w:p>
      <w:pPr>
        <w:spacing w:after="8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/>
          <w:i w:val="0"/>
          <w:color w:val="000000"/>
          <w:sz w:val="22"/>
        </w:rPr>
        <w:t xml:space="preserve">Canonical semantic modeling. </w:t>
      </w:r>
      <w:r>
        <w:rPr>
          <w:rFonts w:ascii="Calibri" w:hAnsi="Calibri"/>
          <w:b w:val="0"/>
          <w:i w:val="0"/>
          <w:color w:val="000000"/>
          <w:sz w:val="22"/>
        </w:rPr>
        <w:t>Source-agnostic dbt models defined once, mapped per source system. New sources map into the model rather than producing parallel ones.</w:t>
      </w:r>
    </w:p>
    <w:p>
      <w:pPr>
        <w:spacing w:after="8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/>
          <w:i w:val="0"/>
          <w:color w:val="000000"/>
          <w:sz w:val="22"/>
        </w:rPr>
        <w:t xml:space="preserve">Governed AI orchestration. </w:t>
      </w:r>
      <w:r>
        <w:rPr>
          <w:rFonts w:ascii="Calibri" w:hAnsi="Calibri"/>
          <w:b w:val="0"/>
          <w:i w:val="0"/>
          <w:color w:val="000000"/>
          <w:sz w:val="22"/>
        </w:rPr>
        <w:t>Context assembly, SQL generation, dry-run validation, scoped execution, and logging — the pattern that makes conversational AI safe for enterprise data.</w:t>
      </w:r>
    </w:p>
    <w:p>
      <w:pPr>
        <w:spacing w:after="24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/>
          <w:i w:val="0"/>
          <w:color w:val="000000"/>
          <w:sz w:val="22"/>
        </w:rPr>
        <w:t xml:space="preserve">Repeatable acquisition onboarding. </w:t>
      </w:r>
      <w:r>
        <w:rPr>
          <w:rFonts w:ascii="Calibri" w:hAnsi="Calibri"/>
          <w:b w:val="0"/>
          <w:i w:val="0"/>
          <w:color w:val="000000"/>
          <w:sz w:val="22"/>
        </w:rPr>
        <w:t>A documented playbook for mapping a new property's source data into the canonical layer and exposing it through the same governed consumption paths.</w:t>
      </w:r>
    </w:p>
    <w:p>
      <w:pPr>
        <w:spacing w:before="0" w:after="26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Phase 1 builds all four against the subscription rates dataset. Every subsequent domain and acquisition reuses the patterns rather than reinventing them.</w:t>
      </w:r>
    </w:p>
    <w:p>
      <w:pPr>
        <w:pStyle w:val="Heading3"/>
        <w:spacing w:before="0" w:after="200"/>
      </w:pPr>
      <w:r>
        <w:rPr>
          <w:rFonts w:ascii="Calibri" w:hAnsi="Calibri"/>
          <w:b/>
          <w:i w:val="0"/>
          <w:color w:val="0B2545"/>
          <w:sz w:val="22"/>
        </w:rPr>
        <w:t>Current state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Lee operates a centralized cloud data platform with the right ingredients:</w:t>
      </w:r>
    </w:p>
    <w:p>
      <w:pPr>
        <w:spacing w:after="6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AWS MWAA / Airflow for orchestration.</w:t>
      </w:r>
    </w:p>
    <w:p>
      <w:pPr>
        <w:spacing w:after="6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GCS as a landing zone for source extracts.</w:t>
      </w:r>
    </w:p>
    <w:p>
      <w:pPr>
        <w:spacing w:after="6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BigQuery as the analytical warehouse.</w:t>
      </w:r>
    </w:p>
    <w:p>
      <w:pPr>
        <w:spacing w:after="6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dbt for transformation, with growing adoption.</w:t>
      </w:r>
    </w:p>
    <w:p>
      <w:pPr>
        <w:spacing w:after="22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Looker and Domo for BI consumption.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The architecture is sound at the foundation. The gap is at the upper layers: there is no established medallion pattern, the dbt project is early in its maturity, semantic definitions are inconsistent across sources, and there is no governed path for AI-assisted analytics. Phase 1 closes those gaps for the subscription rates dataset and produces the framework that every future domain follows.</w:t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Calibri" w:hAnsi="Calibri"/>
          <w:b/>
          <w:i w:val="0"/>
          <w:color w:val="0B2545"/>
          <w:sz w:val="32"/>
        </w:rPr>
        <w:t>Proposed Solution</w:t>
      </w:r>
    </w:p>
    <w:p>
      <w:pPr>
        <w:spacing w:before="0" w:after="26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A phased program that builds the canonical data foundation and the AI layer together..</w:t>
      </w:r>
    </w:p>
    <w:p>
      <w:pPr>
        <w:pStyle w:val="Heading3"/>
        <w:spacing w:before="0" w:after="180"/>
      </w:pPr>
      <w:r>
        <w:rPr>
          <w:rFonts w:ascii="Calibri" w:hAnsi="Calibri"/>
          <w:b/>
          <w:i w:val="0"/>
          <w:color w:val="0B2545"/>
          <w:sz w:val="22"/>
        </w:rPr>
        <w:t>Architecture overview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The solution establishes three coordinated layers that together define Lee's analytics framework going forward: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Canonical semantic models. </w:t>
      </w:r>
      <w:r>
        <w:rPr>
          <w:rFonts w:ascii="Calibri" w:hAnsi="Calibri"/>
          <w:b w:val="0"/>
          <w:i w:val="0"/>
          <w:color w:val="000000"/>
          <w:sz w:val="22"/>
        </w:rPr>
        <w:t>Source-agnostic dbt models that consolidate per-property subscription rate data into a single shared definition. New acquisitions map into this model rather than producing parallel ones.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AI-ready semantic layer. </w:t>
      </w:r>
      <w:r>
        <w:rPr>
          <w:rFonts w:ascii="Calibri" w:hAnsi="Calibri"/>
          <w:b w:val="0"/>
          <w:i w:val="0"/>
          <w:color w:val="000000"/>
          <w:sz w:val="22"/>
        </w:rPr>
        <w:t>A purpose-built downstream layer in BigQuery designed for LLM consumption — denormalized where helpful, annotated with descriptions, paired with markdown context files that ground generated SQL.</w:t>
      </w:r>
    </w:p>
    <w:p>
      <w:pPr>
        <w:spacing w:after="2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Conversational AI orchestration. </w:t>
      </w:r>
      <w:r>
        <w:rPr>
          <w:rFonts w:ascii="Calibri" w:hAnsi="Calibri"/>
          <w:b w:val="0"/>
          <w:i w:val="0"/>
          <w:color w:val="000000"/>
          <w:sz w:val="22"/>
        </w:rPr>
        <w:t>An orchestration service that assembles context, prompts Gemini via Vertex AI, validates generated SQL with a BigQuery dry-run, executes against governed models, and returns grounded answers.</w:t>
      </w:r>
    </w:p>
    <w:p>
      <w:pPr>
        <w:pStyle w:val="Heading3"/>
        <w:spacing w:before="0" w:after="180"/>
      </w:pPr>
      <w:r>
        <w:rPr>
          <w:rFonts w:ascii="Calibri" w:hAnsi="Calibri"/>
          <w:b/>
          <w:i w:val="0"/>
          <w:color w:val="0B2545"/>
          <w:sz w:val="22"/>
        </w:rPr>
        <w:t>Three consumption flows, one foundation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The platform supports three ways to consume governed data, all reading from the same models: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Dashboards. </w:t>
      </w:r>
      <w:r>
        <w:rPr>
          <w:rFonts w:ascii="Calibri" w:hAnsi="Calibri"/>
          <w:b w:val="0"/>
          <w:i w:val="0"/>
          <w:color w:val="000000"/>
          <w:sz w:val="22"/>
        </w:rPr>
        <w:t>Looker and Domo continue to serve curated reporting against gold models. No regression of existing capability.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Direct SQL. </w:t>
      </w:r>
      <w:r>
        <w:rPr>
          <w:rFonts w:ascii="Calibri" w:hAnsi="Calibri"/>
          <w:b w:val="0"/>
          <w:i w:val="0"/>
          <w:color w:val="000000"/>
          <w:sz w:val="22"/>
        </w:rPr>
        <w:t>Analysts query gold and AI-semantic models directly through their existing SQL IDE.</w:t>
      </w:r>
    </w:p>
    <w:p>
      <w:pPr>
        <w:spacing w:after="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Conversational AI. </w:t>
      </w:r>
      <w:r>
        <w:rPr>
          <w:rFonts w:ascii="Calibri" w:hAnsi="Calibri"/>
          <w:b w:val="0"/>
          <w:i w:val="0"/>
          <w:color w:val="000000"/>
          <w:sz w:val="22"/>
        </w:rPr>
        <w:t>Business users ask questions in natural language and receive grounded, source-cited answers backed by governed SQL execution.</w:t>
      </w:r>
    </w:p>
    <w:p>
      <w:r>
        <w:br w:type="page"/>
      </w:r>
    </w:p>
    <w:p>
      <w:pPr>
        <w:pStyle w:val="Heading1"/>
        <w:spacing w:before="0" w:after="140"/>
      </w:pPr>
      <w:r>
        <w:rPr>
          <w:rFonts w:ascii="Calibri" w:hAnsi="Calibri"/>
          <w:b/>
          <w:i w:val="0"/>
          <w:color w:val="0B2545"/>
          <w:sz w:val="32"/>
        </w:rPr>
        <w:t>Phase 1 — Subscription Rates Canonical Model + MVP Conversational</w:t>
        <w:br/>
        <w:t>AI</w:t>
      </w:r>
    </w:p>
    <w:p>
      <w:pPr>
        <w:pStyle w:val="Heading3"/>
        <w:spacing w:before="0" w:after="120"/>
      </w:pPr>
      <w:r>
        <w:rPr>
          <w:rFonts w:ascii="Calibri" w:hAnsi="Calibri"/>
          <w:b/>
          <w:i w:val="0"/>
          <w:color w:val="0B2545"/>
          <w:sz w:val="22"/>
        </w:rPr>
        <w:t>Scope</w:t>
      </w:r>
    </w:p>
    <w:p>
      <w:pPr>
        <w:spacing w:before="0" w:after="20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Phase 1 covers a single business dataset (subscription rates) end-to-end: from raw source data through canonical and AI-ready models, into a conversational interface with a prototype Teams-based or custom chatbot-style UI.</w:t>
      </w:r>
    </w:p>
    <w:p>
      <w:pPr>
        <w:pStyle w:val="Heading3"/>
        <w:spacing w:before="0" w:after="120"/>
      </w:pPr>
      <w:r>
        <w:rPr>
          <w:rFonts w:ascii="Calibri" w:hAnsi="Calibri"/>
          <w:b/>
          <w:i w:val="0"/>
          <w:color w:val="0B2545"/>
          <w:sz w:val="22"/>
        </w:rPr>
        <w:t>In scope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Canonical subscription rates model. </w:t>
      </w:r>
      <w:r>
        <w:rPr>
          <w:rFonts w:ascii="Calibri" w:hAnsi="Calibri"/>
          <w:b w:val="0"/>
          <w:i w:val="0"/>
          <w:color w:val="000000"/>
          <w:sz w:val="22"/>
        </w:rPr>
        <w:t>Discovery, definition, and dbt build covering at least Falcon and DSI sources. Mapping pattern documented for future acquisitions.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Gold + AI-semantic build-out. </w:t>
      </w:r>
      <w:r>
        <w:rPr>
          <w:rFonts w:ascii="Calibri" w:hAnsi="Calibri"/>
          <w:b w:val="0"/>
          <w:i w:val="0"/>
          <w:color w:val="000000"/>
          <w:sz w:val="22"/>
        </w:rPr>
        <w:t>Production-grade gold subscription rates model and downstream AI-semantic model with annotations and descriptions.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Markdown context framework. </w:t>
      </w:r>
      <w:r>
        <w:rPr>
          <w:rFonts w:ascii="Calibri" w:hAnsi="Calibri"/>
          <w:b w:val="0"/>
          <w:i w:val="0"/>
          <w:color w:val="000000"/>
          <w:sz w:val="22"/>
        </w:rPr>
        <w:t>Versioned context files covering business definitions, synonyms, KPI logic, example questions, and acquisition-specific nuance. Stored in the dbt repo.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AI orchestration service. </w:t>
      </w:r>
      <w:r>
        <w:rPr>
          <w:rFonts w:ascii="Calibri" w:hAnsi="Calibri"/>
          <w:b w:val="0"/>
          <w:i w:val="0"/>
          <w:color w:val="000000"/>
          <w:sz w:val="22"/>
        </w:rPr>
        <w:t>Backend service that assembles context, calls Gemini via Vertex AI, validates generated SQL via BigQuery dry-run, executes, and returns grounded responses.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Prototype Teams or custom chatbot-style UI. </w:t>
      </w:r>
      <w:r>
        <w:rPr>
          <w:rFonts w:ascii="Calibri" w:hAnsi="Calibri"/>
          <w:b w:val="0"/>
          <w:i w:val="0"/>
          <w:color w:val="000000"/>
          <w:sz w:val="22"/>
        </w:rPr>
        <w:t>A lightweight conversational interface sufficient for validation, demo, and pilot rollout to a defined user group. Not a production-hardened enterprise app.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Governance + access controls. </w:t>
      </w:r>
      <w:r>
        <w:rPr>
          <w:rFonts w:ascii="Calibri" w:hAnsi="Calibri"/>
          <w:b w:val="0"/>
          <w:i w:val="0"/>
          <w:color w:val="000000"/>
          <w:sz w:val="22"/>
        </w:rPr>
        <w:t>IAM-based scoping of which models the AI can query, plus logging of all generated SQL and executions for audit.</w:t>
      </w:r>
    </w:p>
    <w:p>
      <w:pPr>
        <w:spacing w:after="1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i w:val="0"/>
          <w:color w:val="000000"/>
          <w:sz w:val="22"/>
        </w:rPr>
        <w:t xml:space="preserve">Documentation + handoff. </w:t>
      </w:r>
      <w:r>
        <w:rPr>
          <w:rFonts w:ascii="Calibri" w:hAnsi="Calibri"/>
          <w:b w:val="0"/>
          <w:i w:val="0"/>
          <w:color w:val="000000"/>
          <w:sz w:val="22"/>
        </w:rPr>
        <w:t>Architecture docs, runbooks, onboarding pattern for new acquisitions, context-file authoring guide.</w:t>
      </w:r>
    </w:p>
    <w:p>
      <w:pPr>
        <w:pStyle w:val="Heading3"/>
        <w:spacing w:before="0" w:after="100"/>
      </w:pPr>
      <w:r>
        <w:rPr>
          <w:rFonts w:ascii="Calibri" w:hAnsi="Calibri"/>
          <w:b/>
          <w:i w:val="0"/>
          <w:color w:val="0B2545"/>
          <w:sz w:val="22"/>
        </w:rPr>
        <w:t>Out of scope</w:t>
      </w:r>
    </w:p>
    <w:p>
      <w:pPr>
        <w:spacing w:after="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Additional business domains (advertising, audience, editorial) — addressable in follow-on phases.</w:t>
      </w:r>
    </w:p>
    <w:p>
      <w:pPr>
        <w:spacing w:after="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Production-grade Teams app (full enterprise distribution, SSO hardening, full admin tooling).</w:t>
      </w:r>
    </w:p>
    <w:p>
      <w:pPr>
        <w:spacing w:after="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dbt Semantic Layer API integration — Phase 2.</w:t>
      </w:r>
    </w:p>
    <w:p>
      <w:pPr>
        <w:spacing w:after="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Dataplex metadata integration — Phase 2.</w:t>
      </w:r>
    </w:p>
    <w:p>
      <w:pPr>
        <w:spacing w:after="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Persona-based autonomous agents — Phase 3.</w:t>
      </w:r>
    </w:p>
    <w:p>
      <w:pPr>
        <w:spacing w:after="1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Vector knowledge graph / RAG over unstructured content.</w:t>
      </w:r>
    </w:p>
    <w:p>
      <w:pPr>
        <w:pStyle w:val="Heading3"/>
        <w:spacing w:before="0" w:after="120"/>
      </w:pPr>
      <w:r>
        <w:rPr>
          <w:rFonts w:ascii="Calibri" w:hAnsi="Calibri"/>
          <w:b/>
          <w:i w:val="0"/>
          <w:color w:val="0B2545"/>
          <w:sz w:val="22"/>
        </w:rPr>
        <w:t>Acceptance criteria</w:t>
      </w:r>
    </w:p>
    <w:p>
      <w:pPr>
        <w:spacing w:before="0" w:after="10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Phase 1 is complete when:</w:t>
      </w:r>
    </w:p>
    <w:p>
      <w:pPr>
        <w:spacing w:after="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The canonical subscription rates model is in production, sourced from Falcon and DSI, with documented mapping logic.</w:t>
      </w:r>
    </w:p>
    <w:p>
      <w:r>
        <w:br w:type="page"/>
      </w:r>
    </w:p>
    <w:p>
      <w:pPr>
        <w:spacing w:before="0" w:after="200" w:line="252" w:lineRule="auto"/>
      </w:pPr>
    </w:p>
    <w:p>
      <w:pPr>
        <w:spacing w:after="100" w:line="252" w:lineRule="auto"/>
        <w:ind w:left="187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A defined set of pilot questions (agreed with Lee during discovery) can be asked in natural language and answered with grounded, accurate SQL execution.</w:t>
      </w:r>
    </w:p>
    <w:p>
      <w:pPr>
        <w:spacing w:after="100" w:line="252" w:lineRule="auto"/>
        <w:ind w:left="187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Governance controls restrict AI execution to approved models, and all executions are logged.</w:t>
      </w:r>
    </w:p>
    <w:p>
      <w:pPr>
        <w:spacing w:after="100" w:line="252" w:lineRule="auto"/>
        <w:ind w:left="187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Acquisition onboarding pattern is documented and reviewed with Lee leadership.</w:t>
      </w:r>
    </w:p>
    <w:p>
      <w:pPr>
        <w:spacing w:after="0" w:line="252" w:lineRule="auto"/>
        <w:ind w:left="187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Argo conducts a handoff and enablement session covering operations, context-file authoring, and runbook walk-through.</w:t>
      </w:r>
    </w:p>
    <w:p>
      <w:r>
        <w:br w:type="page"/>
      </w:r>
    </w:p>
    <w:p>
      <w:pPr>
        <w:pStyle w:val="Heading1"/>
        <w:spacing w:before="0" w:after="140"/>
      </w:pPr>
      <w:r>
        <w:rPr>
          <w:rFonts w:ascii="Calibri" w:hAnsi="Calibri"/>
          <w:b/>
          <w:i w:val="0"/>
          <w:color w:val="0B2545"/>
          <w:sz w:val="32"/>
        </w:rPr>
        <w:t>Phases 2 &amp; 3 — Directional</w:t>
      </w:r>
    </w:p>
    <w:p>
      <w:pPr>
        <w:spacing w:before="0" w:after="24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Phases 2 and 3 are illustrative, not committed. They activate only after Phase 1 demonstrates adoption and ROI, and they are scoped through separate SOWs.</w:t>
      </w:r>
    </w:p>
    <w:p>
      <w:pPr>
        <w:pStyle w:val="Heading3"/>
        <w:spacing w:before="0" w:after="140"/>
      </w:pPr>
      <w:r>
        <w:rPr>
          <w:rFonts w:ascii="Calibri" w:hAnsi="Calibri"/>
          <w:b/>
          <w:i w:val="0"/>
          <w:color w:val="0B2545"/>
          <w:sz w:val="22"/>
        </w:rPr>
        <w:t>Phase 2 — Semantic &amp; governance expansion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Adds depth to the foundation: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Integrate the dbt Semantic Layer for governed metric contracts shared across BI and AI consumption.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Integrate Dataplex for metadata, lineage, and policy-aware context assembly.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Expand the canonical model to additional domains (advertising, audience).</w:t>
      </w:r>
    </w:p>
    <w:p>
      <w:pPr>
        <w:spacing w:after="24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Onboard the first real acquisition end-to-end using the documented pattern.</w:t>
      </w:r>
    </w:p>
    <w:p>
      <w:pPr>
        <w:pStyle w:val="Heading3"/>
        <w:spacing w:before="0" w:after="140"/>
      </w:pPr>
      <w:r>
        <w:rPr>
          <w:rFonts w:ascii="Calibri" w:hAnsi="Calibri"/>
          <w:b/>
          <w:i w:val="0"/>
          <w:color w:val="0B2545"/>
          <w:sz w:val="22"/>
        </w:rPr>
        <w:t>Phase 3 — Agentic AI layer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Once the semantic foundation is mature, introduce specialized agents: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Persona agents (subscriber analytics, revenue ops, acquisition integration) with scoped tool access.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Multi-step reasoning and cross-system workflow execution.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Proactive insight generation against governed data.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Phase 3 deliberately follows the governance work in Phase 2. Agents without strong semantic grounding produce confident wrong answers, which erodes trust faster than no AI at all.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2"/>
        </w:rPr>
        <w:t>Phase 1 — Level of Effort</w:t>
      </w:r>
    </w:p>
    <w:p>
      <w:pPr>
        <w:pStyle w:val="Heading3"/>
        <w:spacing w:before="0" w:after="240"/>
      </w:pPr>
      <w:r>
        <w:rPr>
          <w:rFonts w:ascii="Calibri" w:hAnsi="Calibri"/>
          <w:b/>
          <w:i w:val="0"/>
          <w:color w:val="0B2545"/>
          <w:sz w:val="22"/>
        </w:rPr>
        <w:t>Phase 1 — Investment</w:t>
      </w:r>
    </w:p>
    <w:p>
      <w:pPr>
        <w:spacing w:before="0" w:after="24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Argo proposes a fixed-bid engagement of $20,000 for the scope defined above.</w:t>
      </w:r>
    </w:p>
    <w:p>
      <w:pPr>
        <w:spacing w:before="0" w:after="24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The estimated underlying effort is ~150 hours. Argo is investing the difference to support a clean launch of the platform pattern and to align incentives around getting the foundation right the first time.</w:t>
      </w:r>
    </w:p>
    <w:p>
      <w:pPr>
        <w:spacing w:before="0" w:after="24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Fixed scope includes everything in the In Scope list above. Items in the Out of Scope list, or new requests that emerge during the engagement, are addressed through a separate change order at the standard $200/hr rate.</w:t>
      </w:r>
    </w:p>
    <w:p>
      <w:pPr>
        <w:spacing w:before="0" w:after="240" w:line="252" w:lineRule="auto"/>
      </w:pPr>
      <w:r>
        <w:rPr>
          <w:rFonts w:ascii="Calibri" w:hAnsi="Calibri"/>
          <w:b w:val="0"/>
          <w:i w:val="0"/>
          <w:color w:val="1A1A1A"/>
          <w:sz w:val="22"/>
        </w:rPr>
        <w:t>GCP usage costs (Vertex AI / Gemini, BigQuery) are usage-based, separate from this engagement, and billed directly by Google to Lee. At pilot scale these are expected to be modest — low hundreds to low thousands per month.</w:t>
      </w:r>
    </w:p>
    <w:p>
      <w:pPr>
        <w:spacing w:after="240"/>
      </w:pPr>
      <w:r>
        <w:rPr>
          <w:rFonts w:ascii="Calibri" w:hAnsi="Calibri"/>
          <w:b/>
          <w:i w:val="0"/>
          <w:color w:val="1A1A1A"/>
          <w:sz w:val="22"/>
        </w:rPr>
        <w:t xml:space="preserve">Billing: </w:t>
      </w:r>
      <w:r>
        <w:rPr>
          <w:rFonts w:ascii="Calibri" w:hAnsi="Calibri"/>
          <w:b w:val="0"/>
          <w:i w:val="0"/>
          <w:color w:val="1A1A1A"/>
          <w:sz w:val="22"/>
        </w:rPr>
        <w:t>50% at engagement kickoff, 50% at delivery and handoff acceptance.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2"/>
        </w:rPr>
        <w:t>Why fixed-bid:</w:t>
      </w:r>
    </w:p>
    <w:p>
      <w:pPr>
        <w:spacing w:after="8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Removes scope uncertainty for Lee on an AI-enabled engagement</w:t>
      </w:r>
    </w:p>
    <w:p>
      <w:pPr>
        <w:spacing w:after="0" w:line="252" w:lineRule="auto"/>
        <w:ind w:left="518" w:hanging="288"/>
      </w:pPr>
      <w:r>
        <w:rPr>
          <w:rFonts w:ascii="Calibri" w:hAnsi="Calibri"/>
          <w:b w:val="0"/>
          <w:i w:val="0"/>
          <w:color w:val="000000"/>
          <w:sz w:val="22"/>
        </w:rPr>
        <w:t xml:space="preserve">● </w:t>
      </w:r>
      <w:r>
        <w:rPr>
          <w:rFonts w:ascii="Calibri" w:hAnsi="Calibri"/>
          <w:b w:val="0"/>
          <w:i w:val="0"/>
          <w:color w:val="000000"/>
          <w:sz w:val="22"/>
        </w:rPr>
        <w:t>Establishes a clean foundation for follow-on platform work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Calibri" w:hAnsi="Calibri"/>
          <w:b/>
          <w:i w:val="0"/>
          <w:color w:val="0B2545"/>
          <w:sz w:val="32"/>
        </w:rPr>
        <w:t>Assumptions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BigQuery, MWAA/Airflow, dbt, Looker, and Domo remain the foundational stack.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GCP Vertex AI / Gemini is the AI provider. No cross-cloud LLM evaluation in Phase 1.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The prototype uses Microsoft Teams or a lightweight custom chatbot-style UI as the conversational entry point.</w:t>
      </w:r>
    </w:p>
    <w:p>
      <w:pPr>
        <w:spacing w:after="8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KPI reconciliation requires named Lee stakeholders with authority to ratify canonical definitions when Falcon and DSI disagree.</w:t>
      </w:r>
    </w:p>
    <w:p>
      <w:pPr>
        <w:spacing w:after="32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Subscription Rates is the Phase 1 dataset. Other domains follow in subsequent phases.</w:t>
      </w:r>
    </w:p>
    <w:p>
      <w:pPr>
        <w:spacing w:before="280" w:after="200"/>
        <w:pBdr>
          <w:bottom w:val="single" w:sz="4" w:space="1" w:color="D8DEE6"/>
        </w:pBdr>
      </w:pPr>
    </w:p>
    <w:p>
      <w:pPr>
        <w:pStyle w:val="Heading1"/>
        <w:spacing w:before="0" w:after="320"/>
      </w:pPr>
      <w:r>
        <w:rPr>
          <w:rFonts w:ascii="Calibri" w:hAnsi="Calibri"/>
          <w:b/>
          <w:i w:val="0"/>
          <w:color w:val="0B2545"/>
          <w:sz w:val="32"/>
        </w:rPr>
        <w:t>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8"/>
        <w:gridCol w:w="3158"/>
        <w:gridCol w:w="3158"/>
      </w:tblGrid>
      <w:tr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29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Impact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KPI reconciliation across Falcon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and DSI stalls</w:t>
            </w:r>
          </w:p>
        </w:tc>
        <w:tc>
          <w:tcPr>
            <w:tcW w:type="dxa" w:w="29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Schedule slip; canonical model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blocked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Named Lee owner per KPI;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time-boxed decisions; document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deltas explicitly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LLM hallucination on edge-case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questions</w:t>
            </w:r>
          </w:p>
        </w:tc>
        <w:tc>
          <w:tcPr>
            <w:tcW w:type="dxa" w:w="29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Erodes user trust early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Dry-run validation; constrained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schema scope; "I don't know"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routing; logging + review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Pilot user adoption is thin</w:t>
            </w:r>
          </w:p>
        </w:tc>
        <w:tc>
          <w:tcPr>
            <w:tcW w:type="dxa" w:w="29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Hard to validate ROI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Pick pilot users with real recurring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subscription rate questions; track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resolved questions weekly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Source data gaps surface mid-build</w:t>
            </w:r>
          </w:p>
        </w:tc>
        <w:tc>
          <w:tcPr>
            <w:tcW w:type="dxa" w:w="29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Rework in gold layer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sz="4" w:val="single" w:color="D5DEE7"/>
              <w:left w:sz="4" w:val="single" w:color="D5DEE7"/>
              <w:bottom w:sz="4" w:val="single" w:color="D5DEE7"/>
              <w:right w:sz="4" w:val="single" w:color="D5DEE7"/>
            </w:tcBorders>
            <w:shd w:fill="F3F6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Schema and sample-data review in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discovery before canonical model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design is finalized</w:t>
            </w:r>
          </w:p>
        </w:tc>
      </w:tr>
    </w:tbl>
    <w:p>
      <w:pPr>
        <w:spacing w:after="240"/>
        <w:pBdr>
          <w:bottom w:val="single" w:sz="4" w:space="1" w:color="D8DEE6"/>
        </w:pBdr>
      </w:pPr>
    </w:p>
    <w:p>
      <w:pPr>
        <w:pStyle w:val="Heading1"/>
        <w:spacing w:before="0" w:after="120"/>
      </w:pPr>
      <w:r>
        <w:rPr>
          <w:rFonts w:ascii="Calibri" w:hAnsi="Calibri"/>
          <w:b/>
          <w:i w:val="0"/>
          <w:color w:val="0B2545"/>
          <w:sz w:val="32"/>
        </w:rPr>
        <w:t>Next Steps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Lee review of architecture and phased roadmap.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Confirm Phase 1 scope and acceptance criteria with named Lee stakeholders.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Identify the pilot user group and 10–15 seed questions to anchor discovery.</w:t>
      </w:r>
    </w:p>
    <w:p>
      <w:pPr>
        <w:spacing w:after="6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Confirm Falcon and DSI as the Phase 1 source systems and assign data owners.</w:t>
      </w:r>
    </w:p>
    <w:p>
      <w:pPr>
        <w:spacing w:after="0" w:line="252" w:lineRule="auto"/>
        <w:ind w:left="461" w:hanging="259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 w:val="0"/>
          <w:i w:val="0"/>
          <w:color w:val="000000"/>
          <w:sz w:val="22"/>
        </w:rPr>
        <w:t>Kickoff discovery sprint (week-by-week plan provided at SOW execution).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325" w:bottom="893" w:left="144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95959"/>
        <w:sz w:val="16"/>
      </w:rPr>
      <w:t xml:space="preserve">Page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 of </w:t>
    </w:r>
    <w:r>
      <w:rPr>
        <w:rFonts w:ascii="Calibri" w:hAnsi="Calibri"/>
        <w:b w:val="0"/>
        <w:i w:val="0"/>
        <w:color w:val="595959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95959"/>
        <w:sz w:val="16"/>
      </w:rPr>
      <w:t xml:space="preserve">    ·    Confidential — for discussion with Lee Enterprises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0B2545"/>
        <w:sz w:val="16"/>
      </w:rPr>
      <w:t>ARGO ANALYTICS</w:t>
    </w:r>
    <w:r>
      <w:rPr>
        <w:rFonts w:ascii="Calibri" w:hAnsi="Calibri"/>
        <w:b w:val="0"/>
        <w:i w:val="0"/>
        <w:color w:val="595959"/>
        <w:sz w:val="16"/>
      </w:rPr>
      <w:t xml:space="preserve">  ·  Lee Enterprises Proposal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Enterprises Conversational AI &amp; Canonical Data Platform</dc:title>
  <dc:subject>Argo Analytics proposal</dc:subject>
  <dc:creator>Argo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