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012 — Mike Ralston — BS21 7AP — Sell STL — Special Offer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2026-04-24 | Email: mike@ralston.tv | Monday ID: 11766125431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f1851dd2-9c19-4328-b793-5252b0d0a09f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Sell STL — Property On Market 5 Years. 7 bed, North Somerset. Mortgage £2,970/mo. STL net ~£29,400-30,000/yr. Investing £25-30k to refurbish.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Mike (and Louise) 7-bed country property on market 5 years. Considering STL vs LTL while listing continues. Previous LTL ~£6k/mo. Renter legislation concern. Refurb ~1 month away. Net projected ~£30k/yr — barely covers mortgage (£2,970). Primary goal: reduce outgoings until sale. 13% fee if signed before 8 May. 6-month fixed term + 3-month notice accepted in principle. New photography needed after refurb. Still comparing 2-3 other agents. Note: May update — Karl's current operator did a 21-day corporate stay which satisfied him temporarily; suggests active evaluation.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Property background &amp; objectives | Revenue projections | Fees, cleaning &amp; pricing | Guest vetting &amp; operations | Onboarding &amp; timeline | Contract terms &amp; commercial offer | Company credibility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OBJECTIONS: Comparing multiple agents. 7-bed limited comps = less accurate projection. Mortgage barely covered by net income.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MOVED: Income to reduce outgoings while selling. Legislative concerns validated. 13% offer + May deadline.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DROP-OFF: Still evaluating other providers. No clear urgency signal.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'reduce outgoings' | 'not to maximise profit' | 'a couple of other agents to compare'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{"entry":"012","postcode":"BS21 7AP","monday_id":"11766125431","stl_net":29700,"mortgage":2970,"outcome":"Special offer applied","notetaker":"f1851dd2-9c19-4328-b793-5252b0d0a09f"}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