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— Rebecca Keeling — LE1 6TH — Purchase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2026-03-20 | Email: rebecca.keeling3@gmail.com | Monday ID: 11527972072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c1dfb332-3eda-43bb-8b79-6ae64cf6d147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Purchase — Off-Plan STL. 1 bed Leicester city centre (Bosworth House). STL net £16,171/yr. LTL via company: ~£7,200/yr (£600/mo net).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Rebecca owns a house elsewhere and is purchasing an off-plan 1-bed Leicester city centre apartment. Due complete ~3-4 weeks from meeting. STL mortgage arranged. Gross ~£30,000/yr, £128.90 nightly, 66% occ, net ~£16,171/yr (~£1,300/mo). LTL via her company: ~£600/mo net. STL only worthwhile if 65%+ occ maintained. 13% fee if signed before 31 March (extended given viewing timing). Rebecca to visit property, send photos/video. Another Sheffield property coming later in year. Pure business proposition — strictly financial calculation.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Income analysis &amp; long-let comparison | Cost structure, fees &amp; VAT | Direct booking strategy &amp; profitability | Operations, billing &amp; owner communication | Onboarding process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STL vs LTL advantage £700/mo = borderline for 1-bed. VAT clarification on management fee. Cleaning cost confusion (why 18% if guests pay?). Strict analytical decision-maker.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STL net more than double LTL net (£1,300 vs £600). Direct booking trajectory reduces costs over 3yrs. City centre = strong demand.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Borderline financial case for 1-bed. Price sensitive. 31 March deadline likely passed.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'business proposition' | 'purely financial' | '65% occupancy or higher' | 'sanity-check your estimate'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{"entry":"018","postcode":"LE1 6TH","monday_id":"11527972072","stl_net":16171,"ltl":7200,"mortgage":"STL mortgage","outcome":"Special offer applied","notetaker":"c1dfb332-3eda-43bb-8b79-6ae64cf6d147"}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