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— Boglarka Glenister — BB3 8UX — STL Switch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2026-04-27 | Email: boglarka_glenister@hotmail.com | Monday ID: 11810082372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371dad5d-cd2d-441b-8654-c474c65ce1eb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Overseas Owner. 5 bed, Rossendale BB3 8UX. No mortgage. STL net ~£24,000/yr (refined). LTL est ~£24,000/yr (£2,000/mo). TWO MONDAY ITEMS — duplicate entry, correct one: 11810082372.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Boglarka (overseas) owns renovated 5-bed family home in Rossendale overlooking a lodge with deep lake behind. Fully gutted renovation, no mortgage, currently unfurnished. Key safety concern: deep lake at back (fencing needed). Initial analysis: £119k gross, £607 nightly, 54% occ, net £62k (included grand nearby properties). Refined: ~£65k gross, ~£24k net. LTL est ~£2,000/mo = £24k/yr. STL advantage: marginal (~£2k/yr only). Setup estimate ~£8,500-8,700 (Boglarka challenged this as too low for 5-bed unfurnished — expected £18k+). Final decisions deferred until: (1) LTL valuation from agents, (2) Photos for accurate setup quote. Local keyholder holds keys.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NOTE: Monday shows 'Abandoned' but meeting was 27 Apr 2026. Decision likely deferred not abandoned.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Financial comparison STL vs LTL | Software analysis methodology | Furnishing &amp; setup costs | Management service | Property safety considerations | Reviews &amp; risk handling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Marginal STL advantage vs LTL (~£2k/yr). Setup cost estimate challenged (£8,500 too low per Boglarka). Lake safety unresolved. Needs LTL valuation first.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Property flexibility vs LTL commitment. Leisure destination demand. Overseas management available.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Marginal financial case. Setup cost estimate too low for her expectations.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'years of renovation' | 'deep lake' | 'unreasonably low' (re: setup cost) | 'get this sorted out'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{"entry":"020","postcode":"BB3 8UX","monday_id":"11810082372","stl_net":24000,"mortgage":0,"outcome":"Abandoned","notetaker":"371dad5d-cd2d-441b-8654-c474c65ce1eb","note":"duplicate_monday_item_exists_11818542209"}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