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023 — Oliver Glaves — S1 4LG — STL Switch — Abandoned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2026-04-10 | Email: oliverglaves@hotmail.com | Monday ID: 11667339782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Notetaker: 4aa2d426-ac0e-476c-a51b-e64cee22f5ef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PROFILE: STL Switch — Renters Reform Trigger. 1 bed Sheffield city centre. Low mortgage. STL net ~£9,900/yr before bills. Net after bills ~£5-6k/yr.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MEETING: Oliver's 1-bed Sheffield S1 investment property (7-8yrs). Tenants leaving 22 April. Renters Reform = primary trigger (reduced landlord protection). Unhappy with existing managed agent (poor comms, unreasonable maintenance demands). Gross ~£24,500/yr, £80 nightly, 77% occ, net ~£9,900/yr. Bills ~£300-400/mo. Net after bills: ~£5-6k/yr. Current: £300/mo profit from LTL. STL target: £500/mo (£200/mo uplift). 13% fee if signed before 30 April. Wife needs to agree. Oliver to prepare flat after tenants leave 22 April (TV, paint, key safes). Abandoned — deadline 30 April not met. Wife agreement likely blocker.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TOPICS: Property background, goals &amp; risk | Financial projections vs LTL | Management service &amp; pricing | Airbnb setup requirements | Platform performance &amp; tools | Next steps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OBJECTIONS: Wife agreement needed. 1-bed competes with hotels (lower nightly rates). £200/mo uplift is modest.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MOVED: Better communication and maintenance vs existing agent. Renters Reform as legitimising trigger. £500 vs £300/mo monthly.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DROP-OFF: 30 April deadline passed. Wife agreement likely blocker.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LANGUAGE: 'Renters Reform Act' | 'maximise returns if not getting long-term security' | 'better communication' | 'wife needs to agree'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JSON: {"entry":"023","postcode":"S1 4LG","monday_id":"11667339782","stl_net":9900,"ltl_net_monthly":300,"outcome":"Abandoned","reason":"30_april_deadline_passed_wife_blocker","notetaker":"4aa2d426-ac0e-476c-a51b-e64cee22f5ef"}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