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028 — Marnus Fourie — CA11 8FE — Abroad — Abandoned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2026-03-27 | Email: marnus.fourie@icloud.com | Monday ID: 11562840773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7217fc78-5bc3-4a24-803d-64184408d351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Abroad — Relocating Ireland. 3 bed Penrith CA11. Mortgage present. STL net ~£21,200/yr.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Marnus relocated to County Wicklow, Ireland for work. Wife and son still in England. Must decide: sell, LTL, or STL the Cumbria property. Leaning toward STL (Lake District proximity, Renters Reform). Meeting with Martyn also present. Gross ~£37,000/yr, £129 nightly, 78% occ, net ~£21,200/yr. Planning permission concern — unfounded (Martyn: C3 use class, &lt;6 guests, no permission needed). Leisure tourist demand (Lake District proximity). 13% fee if signed before 24 April. Marnus to discuss with wife. April deadline passed — Abandoned. Wife alignment likely the blocker.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Owner situation &amp; goals | Planning permission &amp; neighbour concerns | Income estimate &amp; financial comparison | Service model &amp; guest protections | Operations, software, team &amp; payouts | Contract terms, discount | Next steps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Planning permission concern (resolved by Martyn). Neighbour concerns in residential area. Wife alignment required.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Lake District proximity = leisure demand. Renters Reform trigger. Martyn's planning permission expertise added credibility.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April 24 deadline passed. Wife likely didn't agree in time.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'moving to Ireland' | 'by May' | 'discuss with wife' | 'plan to get back in touch next week'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{"entry":"028","postcode":"CA11 8FE","monday_id":"11562840773","stl_net":21200,"outcome":"Abandoned","reason":"wife_alignment_april_deadline_passed","notetaker":"7217fc78-5bc3-4a24-803d-64184408d351"}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