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028 Gary Johnston CH2 2BT STL Switch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2026-03-25 Email gary.a.johnston@gmail.com Monday 11573632623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d4c52526-c036-4f82-b38f-a60ba5468829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3 bed Chester Outcome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income analysis and financial comparison property usage pattern and flexibility service offering fees and onboarding process operations case studies and data sources tax implications and business rates next steps and decision timeline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evaluating whether short-term letting via Stayful can match or beat Gary current rental income while preserving his flexibility to use his property. Financial comparison presented. Property usage pattern and importance of flexibility for personal use covered. Tax implications and business rates discussed - this is an unusual topic that suggests tax complexity may have been a concern for Gary. Outcome Abandoned.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TAX AND BUSINESS RATES mentioned as discussion topic - suggests this was a concern for Gary, possibly a barrier. Chester 3-bed STL market should be reasonable.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028 lead Gary Johnston email gary.a.johnston@gmail.com type STL Switch postcode CH2 2BT bedrooms 3 note Tax and business rates concern flexibility for personal use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