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030 — Shoaib Khalid — NG8 4AZ — STL Switch — Abandoned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2026-03-18 | Email: shoaib.fsd.undp@gmail.com | Monday ID: 11514528972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142680c7-45b7-42b3-9257-7c4200e4dc6e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STL Switch — STL Experience. 3 bed Nottingham NG8. STL net ~£22,586/yr. LTL £1,250/mo currently.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Shoaib has experience running property as STL (Airbnb listing exists). Currently family LTL tenants leaving end of month. Property fully furnished. Target: £1,400/mo without agent fees. Gross ~£38,000/yr, £164 nightly, 65% occ, net ~£22,586/yr (~£1,882/mo). LTL: £1,250/mo. STL advantage clear. CRITICAL: Shoaib will NOT sign until tenants physically vacated and property re-inspected. 13% if signed before 27 March — deadline passed before tenants left. Cannot guarantee fixed income — Shoaib asked for this repeatedly. 6-month contract felt long given variability concern. Status: Abandoned.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INTELLIGENCE: Fixed income guarantee demand is a hard stop. Combined with: (1) won't sign before vacant, (2) 13% deadline timing mismatch = classic abandonment even with positive STL case. Pattern: previous STL experience + income variability fear + rigid pre-conditions = high abandonment risk.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Revenue projections &amp; LTL comparison | Service model, fees &amp; payouts | Contract terms, risk &amp; performance | Property condition &amp; onboarding | Next steps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Cannot guarantee fixed income. Won't sign before tenants leave. 6-month contract too long.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Abandoned. Guarantee demand + deadline mismatch. Tenants left after 27 March deadline.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'not willing to sign until tenants physically vacated' | 'guarantee the projected income' | 'six months is too long'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{"entry":"030","postcode":"NG8 4AZ","monday_id":"11514528972","stl_net":22586,"ltl_monthly":1250,"outcome":"Abandoned","reason":"guarantee_demand+deadline_mismatch+rigid_preconditions","notetaker":"142680c7-45b7-42b3-9257-7c4200e4dc6e"}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