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030 Hany Rashwan B16 8JG STL Switch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2026-03-17 Email hrashwan7@gmail.com Monday 11503154761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dfad497c-382c-4d14-b692-ae1dfff2694f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Birmingham Outcome Warm (In the Future September)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income potential and financial structure current property and motivation for short-letting short-let operations and profitability plan guest vetting risk management and responsibilities cleaning maintenance and local team structure property setup and furnishing requirements licensing regulations tax and lender considerations onboarding process and next steps stakeholder roles team size and 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assessing whether converting 17 Huntly Road from a long-term tenancy to a short-let managed by Stayful would be financially and operationally viable. Comprehensive discussion covering all key topics including licensing, regulations, tax, lender considerations - breadth of topics suggests thorough analytical lead. Spouse Shezza also attended. Status In the Future September - implementation pushed to September 2026.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COMPREHENSIVE QUESTIONING - 9 topics covered in detail including licensing regulations tax and lender. Analytical profile. Multiple decision makers (spouse attended). September 2026 timeline.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 (September 2026 implementation) Monday status In the Future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030 lead Hany Rashwan email hrashwan7@gmail.com type STL Switch postcode B16 8JG note Analytical lead spouse attended September 2026 implementation comprehensive questioning on regulations tax lender outcome warm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