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037 — Jack Mitchell — BS3 (Bristol) — STL-SW —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2026-05-07 | Email: jacksrmitchell@live.co.uk | Monday ID: 11928280535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Granola web meeting | Meeting ID: fa2097b3-f9bc-4fe4-8d69-f4b5d378306f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 Existing property seeking higher return from short-term rental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3 bed house, 64 Duncary Road, Bristol BS3 4LA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Mortgage / Purchase: Existing owner (mortgage status unconfirmed — call cut short)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SUMMARY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held 7 May 2026, 10:45am. Significant technical disruption — the call dropped halfway through and after Jack rejoined, further connection delays caused Jack to leave early. The meeting was not completed. No Granola summary was generated. Lead had already received the Stayful income analysis ahead of the call. Monday data shows: gross STR estimate £65,752, long-let equivalent £14,224, net to owner ~£34,388. Management agreement was already attached to the Monday item prior to the meeting. Call was aborted before objections, full property context or any pricing discussion could take place. Follow-up email sent with personalised action plan and rebooking link.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INTELLIGENCE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never reached a substantive stage due to repeated connection failures — treat this as a first-contact situation, not a completed web meeting. Jack signed up and attended, so intent is genuine. The gap between long-let (£14,224) and STR net (£34,388) is compelling and should be leaned on hard in rebooking outreach. BS3 is an excellent postcode for STR — strong summer peak and year-round corporate demand. Priority is to get him back on a call. He may have had a frustrating experience — acknowledge it warmly but quickly move to the value opportunity.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OBJECTIONS RAISED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captured — meeting cut off before objections stage.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RESONATED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 call did not reach this stage.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LANGUAGE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verbatim phrases captured — transcript unavailable and meeting incomplete.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